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EE8BF" w14:textId="77777777" w:rsidR="009A06C2" w:rsidRDefault="00F37C85">
      <w:pPr>
        <w:pStyle w:val="BodyText"/>
        <w:spacing w:line="20" w:lineRule="exact"/>
        <w:ind w:left="644"/>
        <w:jc w:val="left"/>
        <w:rPr>
          <w:rFonts w:ascii="Segoe UI"/>
          <w:sz w:val="2"/>
        </w:rPr>
      </w:pPr>
      <w:r>
        <w:rPr>
          <w:rFonts w:ascii="Segoe UI"/>
          <w:noProof/>
          <w:sz w:val="2"/>
          <w:lang w:bidi="ar-SA"/>
        </w:rPr>
        <mc:AlternateContent>
          <mc:Choice Requires="wpg">
            <w:drawing>
              <wp:inline distT="0" distB="0" distL="0" distR="0" wp14:anchorId="6F996E81" wp14:editId="6C3132F0">
                <wp:extent cx="5797550" cy="9525"/>
                <wp:effectExtent l="8890" t="1270" r="13335" b="8255"/>
                <wp:docPr id="629"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9525"/>
                          <a:chOff x="0" y="0"/>
                          <a:chExt cx="9130" cy="15"/>
                        </a:xfrm>
                      </wpg:grpSpPr>
                      <wps:wsp>
                        <wps:cNvPr id="630" name="Line 608"/>
                        <wps:cNvCnPr>
                          <a:cxnSpLocks noChangeShapeType="1"/>
                        </wps:cNvCnPr>
                        <wps:spPr bwMode="auto">
                          <a:xfrm>
                            <a:off x="0" y="7"/>
                            <a:ext cx="91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C2918A" id="Group 607" o:spid="_x0000_s1026" style="width:456.5pt;height:.75pt;mso-position-horizontal-relative:char;mso-position-vertical-relative:line" coordsize="91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">
                <v:line id="Line 608" o:spid="_x0000_s1027" style="position:absolute;visibility:visible;mso-wrap-style:square" from="0,7" to="9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" strokeweight=".72pt"/>
                <w10:anchorlock/>
              </v:group>
            </w:pict>
          </mc:Fallback>
        </mc:AlternateContent>
      </w:r>
    </w:p>
    <w:p w14:paraId="7B13D72D" w14:textId="77777777" w:rsidR="009A06C2" w:rsidRDefault="009A06C2">
      <w:pPr>
        <w:pStyle w:val="BodyText"/>
        <w:jc w:val="left"/>
        <w:rPr>
          <w:rFonts w:ascii="Segoe UI"/>
          <w:sz w:val="20"/>
        </w:rPr>
      </w:pPr>
    </w:p>
    <w:p w14:paraId="4332D9DA" w14:textId="30E6D5B0" w:rsidR="009A06C2" w:rsidRDefault="006D6601">
      <w:pPr>
        <w:spacing w:before="254"/>
        <w:ind w:left="1080" w:right="1529"/>
        <w:jc w:val="center"/>
        <w:rPr>
          <w:rFonts w:ascii="Trebuchet MS" w:hAnsi="Trebuchet MS"/>
          <w:b/>
          <w:sz w:val="32"/>
        </w:rPr>
      </w:pPr>
      <w:bookmarkStart w:id="0" w:name="_Hlk67314748"/>
      <w:r w:rsidRPr="006D6601">
        <w:rPr>
          <w:rFonts w:ascii="Trebuchet MS" w:hAnsi="Trebuchet MS"/>
          <w:b/>
          <w:color w:val="000099"/>
          <w:w w:val="95"/>
          <w:sz w:val="32"/>
          <w:lang w:val="en-GB"/>
        </w:rPr>
        <w:t xml:space="preserve">The </w:t>
      </w:r>
      <w:r w:rsidR="00DF5024">
        <w:rPr>
          <w:rFonts w:ascii="Trebuchet MS" w:hAnsi="Trebuchet MS"/>
          <w:b/>
          <w:color w:val="000099"/>
          <w:w w:val="95"/>
          <w:sz w:val="32"/>
          <w:lang w:val="en-GB"/>
        </w:rPr>
        <w:t>Important</w:t>
      </w:r>
      <w:r w:rsidR="00DF5024">
        <w:rPr>
          <w:rFonts w:ascii="Trebuchet MS" w:eastAsiaTheme="minorEastAsia" w:hAnsi="Trebuchet MS" w:hint="eastAsia"/>
          <w:b/>
          <w:color w:val="000099"/>
          <w:w w:val="95"/>
          <w:sz w:val="32"/>
          <w:lang w:val="en-GB" w:eastAsia="zh-CN"/>
        </w:rPr>
        <w:t xml:space="preserve"> </w:t>
      </w:r>
      <w:r w:rsidRPr="006D6601">
        <w:rPr>
          <w:rFonts w:ascii="Trebuchet MS" w:hAnsi="Trebuchet MS"/>
          <w:b/>
          <w:color w:val="000099"/>
          <w:w w:val="95"/>
          <w:sz w:val="32"/>
          <w:lang w:val="en-GB"/>
        </w:rPr>
        <w:t xml:space="preserve">of the </w:t>
      </w:r>
      <w:r w:rsidR="00F4472A">
        <w:rPr>
          <w:rFonts w:ascii="Trebuchet MS" w:hAnsi="Trebuchet MS"/>
          <w:b/>
          <w:color w:val="000099"/>
          <w:w w:val="95"/>
          <w:sz w:val="32"/>
          <w:lang w:val="en-GB"/>
        </w:rPr>
        <w:t xml:space="preserve">Community of Practice (CoP) </w:t>
      </w:r>
      <w:r w:rsidRPr="006D6601">
        <w:rPr>
          <w:rFonts w:ascii="Trebuchet MS" w:hAnsi="Trebuchet MS"/>
          <w:b/>
          <w:color w:val="000099"/>
          <w:w w:val="95"/>
          <w:sz w:val="32"/>
          <w:lang w:val="en-GB"/>
        </w:rPr>
        <w:t xml:space="preserve">in Improving </w:t>
      </w:r>
      <w:r w:rsidR="00F4472A" w:rsidRPr="006D6601">
        <w:rPr>
          <w:rFonts w:ascii="Trebuchet MS" w:hAnsi="Trebuchet MS"/>
          <w:b/>
          <w:color w:val="000099"/>
          <w:w w:val="95"/>
          <w:sz w:val="32"/>
          <w:lang w:val="en-GB"/>
        </w:rPr>
        <w:t>the</w:t>
      </w:r>
      <w:r w:rsidRPr="006D6601">
        <w:rPr>
          <w:rFonts w:ascii="Trebuchet MS" w:hAnsi="Trebuchet MS"/>
          <w:b/>
          <w:color w:val="000099"/>
          <w:w w:val="95"/>
          <w:sz w:val="32"/>
          <w:lang w:val="en-GB"/>
        </w:rPr>
        <w:t xml:space="preserve"> Primary School Teachers’ Performance in Riau Province</w:t>
      </w:r>
      <w:r w:rsidR="003A017F" w:rsidRPr="003A017F">
        <w:rPr>
          <w:rFonts w:ascii="Trebuchet MS" w:hAnsi="Trebuchet MS"/>
          <w:b/>
          <w:color w:val="000099"/>
          <w:w w:val="95"/>
          <w:sz w:val="32"/>
          <w:lang w:val="en-GB"/>
        </w:rPr>
        <w:t xml:space="preserve"> </w:t>
      </w:r>
    </w:p>
    <w:bookmarkEnd w:id="0"/>
    <w:p w14:paraId="10DC4775" w14:textId="5B57C536" w:rsidR="009A06C2" w:rsidRDefault="006D6601">
      <w:pPr>
        <w:pStyle w:val="Heading3"/>
        <w:spacing w:before="117"/>
        <w:ind w:left="1073" w:right="1529"/>
        <w:jc w:val="center"/>
        <w:rPr>
          <w:sz w:val="13"/>
        </w:rPr>
      </w:pPr>
      <w:proofErr w:type="spellStart"/>
      <w:r w:rsidRPr="006D6601">
        <w:rPr>
          <w:lang w:val="en-GB"/>
        </w:rPr>
        <w:t>Neni</w:t>
      </w:r>
      <w:proofErr w:type="spellEnd"/>
      <w:r w:rsidRPr="006D6601">
        <w:rPr>
          <w:lang w:val="en-GB"/>
        </w:rPr>
        <w:t xml:space="preserve"> Hermita</w:t>
      </w:r>
      <w:r w:rsidRPr="006D6601">
        <w:rPr>
          <w:vertAlign w:val="superscript"/>
          <w:lang w:val="en-GB"/>
        </w:rPr>
        <w:t>1*</w:t>
      </w:r>
      <w:r w:rsidRPr="006D6601">
        <w:rPr>
          <w:lang w:val="en-GB"/>
        </w:rPr>
        <w:t xml:space="preserve">, </w:t>
      </w:r>
      <w:r w:rsidR="002B5E19" w:rsidRPr="006D6601">
        <w:rPr>
          <w:lang w:val="en-GB"/>
        </w:rPr>
        <w:t xml:space="preserve">Tommy </w:t>
      </w:r>
      <w:proofErr w:type="spellStart"/>
      <w:r w:rsidR="002B5E19">
        <w:rPr>
          <w:lang w:val="en-GB"/>
        </w:rPr>
        <w:t>Tanu</w:t>
      </w:r>
      <w:proofErr w:type="spellEnd"/>
      <w:r w:rsidR="002B5E19" w:rsidRPr="006D6601">
        <w:rPr>
          <w:lang w:val="en-GB"/>
        </w:rPr>
        <w:t xml:space="preserve"> Wijaya</w:t>
      </w:r>
      <w:r w:rsidR="002B5E19" w:rsidRPr="006D6601">
        <w:rPr>
          <w:vertAlign w:val="superscript"/>
          <w:lang w:val="en-GB"/>
        </w:rPr>
        <w:t>2</w:t>
      </w:r>
      <w:r w:rsidR="002B5E19">
        <w:rPr>
          <w:lang w:val="en-GB"/>
        </w:rPr>
        <w:t xml:space="preserve">, </w:t>
      </w:r>
      <w:proofErr w:type="spellStart"/>
      <w:r w:rsidRPr="006D6601">
        <w:rPr>
          <w:lang w:val="en-GB"/>
        </w:rPr>
        <w:t>Naila</w:t>
      </w:r>
      <w:proofErr w:type="spellEnd"/>
      <w:r w:rsidRPr="006D6601">
        <w:rPr>
          <w:lang w:val="en-GB"/>
        </w:rPr>
        <w:t xml:space="preserve"> Fauza</w:t>
      </w:r>
      <w:r w:rsidRPr="006D6601">
        <w:rPr>
          <w:vertAlign w:val="superscript"/>
          <w:lang w:val="en-GB"/>
        </w:rPr>
        <w:t>1</w:t>
      </w:r>
      <w:r w:rsidRPr="006D6601">
        <w:rPr>
          <w:lang w:val="en-GB"/>
        </w:rPr>
        <w:t xml:space="preserve">, Eva </w:t>
      </w:r>
      <w:proofErr w:type="spellStart"/>
      <w:r w:rsidRPr="006D6601">
        <w:rPr>
          <w:lang w:val="en-GB"/>
        </w:rPr>
        <w:t>Astuti</w:t>
      </w:r>
      <w:proofErr w:type="spellEnd"/>
      <w:r w:rsidRPr="006D6601">
        <w:rPr>
          <w:lang w:val="en-GB"/>
        </w:rPr>
        <w:t xml:space="preserve"> Mulyani</w:t>
      </w:r>
      <w:r w:rsidRPr="006D6601">
        <w:rPr>
          <w:vertAlign w:val="superscript"/>
          <w:lang w:val="en-GB"/>
        </w:rPr>
        <w:t>1</w:t>
      </w:r>
      <w:r w:rsidRPr="006D6601">
        <w:rPr>
          <w:lang w:val="en-GB"/>
        </w:rPr>
        <w:t xml:space="preserve">, </w:t>
      </w:r>
      <w:proofErr w:type="spellStart"/>
      <w:r w:rsidRPr="006D6601">
        <w:rPr>
          <w:lang w:val="en-GB"/>
        </w:rPr>
        <w:t>Jesi</w:t>
      </w:r>
      <w:proofErr w:type="spellEnd"/>
      <w:r w:rsidRPr="006D6601">
        <w:rPr>
          <w:lang w:val="en-GB"/>
        </w:rPr>
        <w:t xml:space="preserve"> Alexander Alim</w:t>
      </w:r>
      <w:r w:rsidRPr="006D6601">
        <w:rPr>
          <w:vertAlign w:val="superscript"/>
          <w:lang w:val="en-GB"/>
        </w:rPr>
        <w:t>1</w:t>
      </w:r>
      <w:r w:rsidRPr="006D6601">
        <w:rPr>
          <w:lang w:val="en-GB"/>
        </w:rPr>
        <w:t xml:space="preserve">, </w:t>
      </w:r>
      <w:proofErr w:type="spellStart"/>
      <w:r w:rsidRPr="006D6601">
        <w:rPr>
          <w:lang w:val="en-GB"/>
        </w:rPr>
        <w:t>Riki</w:t>
      </w:r>
      <w:proofErr w:type="spellEnd"/>
      <w:r w:rsidRPr="006D6601">
        <w:rPr>
          <w:lang w:val="en-GB"/>
        </w:rPr>
        <w:t xml:space="preserve"> </w:t>
      </w:r>
      <w:proofErr w:type="spellStart"/>
      <w:r w:rsidRPr="006D6601">
        <w:rPr>
          <w:lang w:val="en-GB"/>
        </w:rPr>
        <w:t>Apriyandi</w:t>
      </w:r>
      <w:proofErr w:type="spellEnd"/>
      <w:r w:rsidRPr="006D6601">
        <w:rPr>
          <w:lang w:val="en-GB"/>
        </w:rPr>
        <w:t xml:space="preserve"> Putra</w:t>
      </w:r>
      <w:r w:rsidRPr="006D6601">
        <w:rPr>
          <w:vertAlign w:val="superscript"/>
          <w:lang w:val="en-GB"/>
        </w:rPr>
        <w:t>1</w:t>
      </w:r>
    </w:p>
    <w:p w14:paraId="6DADFD03" w14:textId="77777777" w:rsidR="009A06C2" w:rsidRDefault="00112262">
      <w:pPr>
        <w:spacing w:before="60" w:line="212" w:lineRule="exact"/>
        <w:ind w:left="1080" w:right="1528"/>
        <w:jc w:val="center"/>
        <w:rPr>
          <w:rFonts w:ascii="Segoe UI"/>
          <w:sz w:val="16"/>
        </w:rPr>
      </w:pPr>
      <w:r>
        <w:rPr>
          <w:rFonts w:ascii="Segoe UI"/>
          <w:position w:val="6"/>
          <w:sz w:val="10"/>
        </w:rPr>
        <w:t xml:space="preserve">1 </w:t>
      </w:r>
      <w:proofErr w:type="spellStart"/>
      <w:r w:rsidR="003A017F" w:rsidRPr="003A017F">
        <w:rPr>
          <w:rFonts w:ascii="Segoe UI"/>
          <w:sz w:val="16"/>
          <w:lang w:val="en-GB"/>
        </w:rPr>
        <w:t>Universitas</w:t>
      </w:r>
      <w:proofErr w:type="spellEnd"/>
      <w:r w:rsidR="003A017F" w:rsidRPr="003A017F">
        <w:rPr>
          <w:rFonts w:ascii="Segoe UI"/>
          <w:sz w:val="16"/>
          <w:lang w:val="en-GB"/>
        </w:rPr>
        <w:t xml:space="preserve"> </w:t>
      </w:r>
      <w:r w:rsidR="006D6601">
        <w:rPr>
          <w:rFonts w:ascii="Segoe UI"/>
          <w:sz w:val="16"/>
          <w:lang w:val="en-GB"/>
        </w:rPr>
        <w:t>Riau</w:t>
      </w:r>
      <w:r>
        <w:rPr>
          <w:rFonts w:ascii="Segoe UI"/>
          <w:sz w:val="16"/>
        </w:rPr>
        <w:t>, INDONESIA</w:t>
      </w:r>
    </w:p>
    <w:p w14:paraId="46D04E0E" w14:textId="77777777" w:rsidR="006D6601" w:rsidRDefault="006D6601" w:rsidP="006D6601">
      <w:pPr>
        <w:spacing w:before="60" w:line="212" w:lineRule="exact"/>
        <w:ind w:left="1080" w:right="1528"/>
        <w:jc w:val="center"/>
        <w:rPr>
          <w:rFonts w:ascii="Segoe UI"/>
          <w:sz w:val="16"/>
        </w:rPr>
      </w:pPr>
      <w:r>
        <w:rPr>
          <w:rFonts w:ascii="Segoe UI"/>
          <w:position w:val="6"/>
          <w:sz w:val="10"/>
        </w:rPr>
        <w:t>2</w:t>
      </w:r>
      <w:r>
        <w:rPr>
          <w:rFonts w:ascii="Segoe UI"/>
          <w:sz w:val="16"/>
          <w:lang w:val="en-GB"/>
        </w:rPr>
        <w:t>Guangxi Normal University</w:t>
      </w:r>
      <w:r>
        <w:rPr>
          <w:rFonts w:ascii="Segoe UI"/>
          <w:sz w:val="16"/>
        </w:rPr>
        <w:t>, China</w:t>
      </w:r>
    </w:p>
    <w:p w14:paraId="404F5391" w14:textId="77777777" w:rsidR="006D6601" w:rsidRDefault="006D6601">
      <w:pPr>
        <w:spacing w:before="60" w:line="212" w:lineRule="exact"/>
        <w:ind w:left="1080" w:right="1528"/>
        <w:jc w:val="center"/>
        <w:rPr>
          <w:rFonts w:ascii="Segoe UI"/>
          <w:sz w:val="16"/>
        </w:rPr>
      </w:pPr>
    </w:p>
    <w:p w14:paraId="3E45AB68" w14:textId="77777777" w:rsidR="009A06C2" w:rsidRDefault="009A06C2">
      <w:pPr>
        <w:pStyle w:val="BodyText"/>
        <w:spacing w:before="1"/>
        <w:jc w:val="left"/>
        <w:rPr>
          <w:rFonts w:ascii="Segoe UI"/>
        </w:rPr>
      </w:pPr>
    </w:p>
    <w:p w14:paraId="11CD846F" w14:textId="1853BCD6" w:rsidR="009A06C2" w:rsidRDefault="00112262">
      <w:pPr>
        <w:ind w:left="1080" w:right="1528"/>
        <w:jc w:val="center"/>
        <w:rPr>
          <w:rFonts w:ascii="Segoe UI" w:hAnsi="Segoe UI"/>
          <w:sz w:val="16"/>
        </w:rPr>
      </w:pPr>
      <w:r>
        <w:rPr>
          <w:rFonts w:ascii="Segoe UI" w:hAnsi="Segoe UI"/>
          <w:sz w:val="16"/>
        </w:rPr>
        <w:t xml:space="preserve">Received </w:t>
      </w:r>
      <w:r w:rsidR="00EF0317">
        <w:rPr>
          <w:rFonts w:ascii="Segoe UI" w:hAnsi="Segoe UI"/>
          <w:sz w:val="16"/>
        </w:rPr>
        <w:t>30</w:t>
      </w:r>
      <w:r>
        <w:rPr>
          <w:rFonts w:ascii="Segoe UI" w:hAnsi="Segoe UI"/>
          <w:sz w:val="16"/>
        </w:rPr>
        <w:t xml:space="preserve"> </w:t>
      </w:r>
      <w:r w:rsidR="00EF0317">
        <w:rPr>
          <w:rFonts w:ascii="Segoe UI" w:hAnsi="Segoe UI"/>
          <w:sz w:val="16"/>
        </w:rPr>
        <w:t>Sept</w:t>
      </w:r>
      <w:r>
        <w:rPr>
          <w:rFonts w:ascii="Segoe UI" w:hAnsi="Segoe UI"/>
          <w:sz w:val="16"/>
        </w:rPr>
        <w:t>ember 20</w:t>
      </w:r>
      <w:r w:rsidR="00EF0317">
        <w:rPr>
          <w:rFonts w:ascii="Segoe UI" w:hAnsi="Segoe UI"/>
          <w:sz w:val="16"/>
        </w:rPr>
        <w:t>20</w:t>
      </w:r>
      <w:r>
        <w:rPr>
          <w:rFonts w:ascii="Segoe UI" w:hAnsi="Segoe UI"/>
          <w:sz w:val="16"/>
        </w:rPr>
        <w:t xml:space="preserve"> ▪ Revised </w:t>
      </w:r>
      <w:r w:rsidR="00EF0317">
        <w:rPr>
          <w:rFonts w:ascii="Segoe UI" w:hAnsi="Segoe UI"/>
          <w:sz w:val="16"/>
        </w:rPr>
        <w:t>8 January</w:t>
      </w:r>
      <w:r>
        <w:rPr>
          <w:rFonts w:ascii="Segoe UI" w:hAnsi="Segoe UI"/>
          <w:sz w:val="16"/>
        </w:rPr>
        <w:t xml:space="preserve"> 20</w:t>
      </w:r>
      <w:r w:rsidR="00EF0317">
        <w:rPr>
          <w:rFonts w:ascii="Segoe UI" w:hAnsi="Segoe UI"/>
          <w:sz w:val="16"/>
        </w:rPr>
        <w:t>21</w:t>
      </w:r>
      <w:r>
        <w:rPr>
          <w:rFonts w:ascii="Segoe UI" w:hAnsi="Segoe UI"/>
          <w:sz w:val="16"/>
        </w:rPr>
        <w:t xml:space="preserve"> ▪ Accepted </w:t>
      </w:r>
      <w:r w:rsidR="00EF0317">
        <w:rPr>
          <w:rFonts w:ascii="Segoe UI" w:hAnsi="Segoe UI"/>
          <w:sz w:val="16"/>
        </w:rPr>
        <w:t>17 February</w:t>
      </w:r>
      <w:r>
        <w:rPr>
          <w:rFonts w:ascii="Segoe UI" w:hAnsi="Segoe UI"/>
          <w:sz w:val="16"/>
        </w:rPr>
        <w:t xml:space="preserve"> 20</w:t>
      </w:r>
      <w:r w:rsidR="00EF0317">
        <w:rPr>
          <w:rFonts w:ascii="Segoe UI" w:hAnsi="Segoe UI"/>
          <w:sz w:val="16"/>
        </w:rPr>
        <w:t>21</w:t>
      </w:r>
    </w:p>
    <w:p w14:paraId="145E4D06" w14:textId="77777777" w:rsidR="009A06C2" w:rsidRDefault="009A06C2">
      <w:pPr>
        <w:pStyle w:val="BodyText"/>
        <w:jc w:val="left"/>
        <w:rPr>
          <w:rFonts w:ascii="Segoe UI"/>
          <w:sz w:val="25"/>
        </w:rPr>
      </w:pPr>
    </w:p>
    <w:p w14:paraId="00BDA996" w14:textId="77777777" w:rsidR="009A06C2" w:rsidRDefault="00112262">
      <w:pPr>
        <w:ind w:left="1814"/>
        <w:rPr>
          <w:rFonts w:ascii="Segoe UI"/>
          <w:b/>
          <w:sz w:val="18"/>
        </w:rPr>
      </w:pPr>
      <w:r>
        <w:rPr>
          <w:rFonts w:ascii="Segoe UI"/>
          <w:b/>
          <w:color w:val="000099"/>
          <w:sz w:val="18"/>
        </w:rPr>
        <w:t>ABSTRACT</w:t>
      </w:r>
    </w:p>
    <w:p w14:paraId="071FA122" w14:textId="6BC04793" w:rsidR="003A017F" w:rsidRDefault="006D6601">
      <w:pPr>
        <w:pStyle w:val="BodyText"/>
        <w:spacing w:before="120"/>
        <w:ind w:left="1814" w:right="2266"/>
        <w:rPr>
          <w:rFonts w:ascii="Segoe UI" w:hAnsi="Segoe UI"/>
          <w:lang w:val="id-ID"/>
        </w:rPr>
      </w:pPr>
      <w:r w:rsidRPr="006D6601">
        <w:rPr>
          <w:rFonts w:ascii="Segoe UI" w:hAnsi="Segoe UI"/>
          <w:lang w:val="en-GB"/>
        </w:rPr>
        <w:t xml:space="preserve">Efforts to developing the quality of education is empowering educators. Positive activities that accommodate teachers to improve the quality of education are the activities </w:t>
      </w:r>
      <w:r w:rsidR="00C305A8">
        <w:rPr>
          <w:rFonts w:ascii="Segoe UI" w:hAnsi="Segoe UI"/>
          <w:lang w:val="en-GB"/>
        </w:rPr>
        <w:t xml:space="preserve">of the </w:t>
      </w:r>
      <w:r w:rsidR="00F4472A">
        <w:rPr>
          <w:rFonts w:ascii="Segoe UI" w:hAnsi="Segoe UI"/>
          <w:lang w:val="en-GB"/>
        </w:rPr>
        <w:t>Community of Practice</w:t>
      </w:r>
      <w:r w:rsidR="00C305A8">
        <w:rPr>
          <w:rFonts w:ascii="Segoe UI" w:hAnsi="Segoe UI"/>
          <w:lang w:val="en-GB"/>
        </w:rPr>
        <w:t xml:space="preserve"> (</w:t>
      </w:r>
      <w:r w:rsidR="00F23D8A">
        <w:rPr>
          <w:rFonts w:ascii="Segoe UI" w:hAnsi="Segoe UI"/>
          <w:lang w:val="en-GB"/>
        </w:rPr>
        <w:t>CoP</w:t>
      </w:r>
      <w:r w:rsidRPr="006D6601">
        <w:rPr>
          <w:rFonts w:ascii="Segoe UI" w:hAnsi="Segoe UI"/>
          <w:lang w:val="en-GB"/>
        </w:rPr>
        <w:t xml:space="preserve">). </w:t>
      </w:r>
      <w:r w:rsidR="00F4472A">
        <w:rPr>
          <w:rFonts w:ascii="Segoe UI" w:hAnsi="Segoe UI"/>
          <w:lang w:val="en-GB"/>
        </w:rPr>
        <w:t>Community of Practice (CoP)</w:t>
      </w:r>
      <w:r w:rsidRPr="006D6601">
        <w:rPr>
          <w:rFonts w:ascii="Segoe UI" w:hAnsi="Segoe UI"/>
          <w:lang w:val="en-GB"/>
        </w:rPr>
        <w:t xml:space="preserve"> </w:t>
      </w:r>
      <w:r w:rsidR="00F23D8A">
        <w:rPr>
          <w:rFonts w:ascii="Segoe UI" w:hAnsi="Segoe UI"/>
          <w:lang w:val="en-GB"/>
        </w:rPr>
        <w:t>or KKG in Indonesia Context</w:t>
      </w:r>
      <w:r w:rsidR="00F23D8A" w:rsidRPr="006D6601">
        <w:rPr>
          <w:rFonts w:ascii="Segoe UI" w:hAnsi="Segoe UI"/>
          <w:lang w:val="en-GB"/>
        </w:rPr>
        <w:t xml:space="preserve"> </w:t>
      </w:r>
      <w:r w:rsidRPr="006D6601">
        <w:rPr>
          <w:rFonts w:ascii="Segoe UI" w:hAnsi="Segoe UI"/>
          <w:lang w:val="en-GB"/>
        </w:rPr>
        <w:t xml:space="preserve">is a forum for professional development for primary school teachers, and one of which is improving teacher performance. The effectiveness of the </w:t>
      </w:r>
      <w:r w:rsidR="00F4472A">
        <w:rPr>
          <w:rFonts w:ascii="Segoe UI" w:hAnsi="Segoe UI"/>
          <w:lang w:val="en-GB"/>
        </w:rPr>
        <w:t>CoP</w:t>
      </w:r>
      <w:r w:rsidRPr="006D6601">
        <w:rPr>
          <w:rFonts w:ascii="Segoe UI" w:hAnsi="Segoe UI"/>
          <w:lang w:val="en-GB"/>
        </w:rPr>
        <w:t xml:space="preserve"> really needs to be studied in depth. Therefore, a study was conducted on the role of </w:t>
      </w:r>
      <w:r w:rsidR="00F4472A">
        <w:rPr>
          <w:rFonts w:ascii="Segoe UI" w:hAnsi="Segoe UI"/>
          <w:lang w:val="en-GB"/>
        </w:rPr>
        <w:t>CoP</w:t>
      </w:r>
      <w:r w:rsidRPr="006D6601">
        <w:rPr>
          <w:rFonts w:ascii="Segoe UI" w:hAnsi="Segoe UI"/>
          <w:lang w:val="en-GB"/>
        </w:rPr>
        <w:t xml:space="preserve"> in improving the performance of primary school teachers in Riau Province. The method is a quantitative descriptive study, which describes the role of </w:t>
      </w:r>
      <w:r w:rsidR="00F4472A">
        <w:rPr>
          <w:rFonts w:ascii="Segoe UI" w:hAnsi="Segoe UI"/>
          <w:lang w:val="en-GB"/>
        </w:rPr>
        <w:t>CoP</w:t>
      </w:r>
      <w:r w:rsidRPr="006D6601">
        <w:rPr>
          <w:rFonts w:ascii="Segoe UI" w:hAnsi="Segoe UI"/>
          <w:lang w:val="en-GB"/>
        </w:rPr>
        <w:t xml:space="preserve"> activities in improving teacher performance in Riau through quantitative data. The research was carried out in May-August 2020. The participant </w:t>
      </w:r>
      <w:r w:rsidR="00F4472A" w:rsidRPr="006D6601">
        <w:rPr>
          <w:rFonts w:ascii="Segoe UI" w:hAnsi="Segoe UI"/>
          <w:lang w:val="en-GB"/>
        </w:rPr>
        <w:t>was</w:t>
      </w:r>
      <w:r w:rsidRPr="006D6601">
        <w:rPr>
          <w:rFonts w:ascii="Segoe UI" w:hAnsi="Segoe UI"/>
          <w:lang w:val="en-GB"/>
        </w:rPr>
        <w:t xml:space="preserve"> elementary </w:t>
      </w:r>
      <w:r w:rsidR="00F4472A" w:rsidRPr="006D6601">
        <w:rPr>
          <w:rFonts w:ascii="Segoe UI" w:hAnsi="Segoe UI"/>
          <w:lang w:val="en-GB"/>
        </w:rPr>
        <w:t>schools’</w:t>
      </w:r>
      <w:r w:rsidRPr="006D6601">
        <w:rPr>
          <w:rFonts w:ascii="Segoe UI" w:hAnsi="Segoe UI"/>
          <w:lang w:val="en-GB"/>
        </w:rPr>
        <w:t xml:space="preserve"> teachers in Riau Province. The data source is the primary school teachers </w:t>
      </w:r>
      <w:r w:rsidR="00F4472A" w:rsidRPr="006D6601">
        <w:rPr>
          <w:rFonts w:ascii="Segoe UI" w:hAnsi="Segoe UI"/>
          <w:lang w:val="en-GB"/>
        </w:rPr>
        <w:t>totalling</w:t>
      </w:r>
      <w:r w:rsidRPr="006D6601">
        <w:rPr>
          <w:rFonts w:ascii="Segoe UI" w:hAnsi="Segoe UI"/>
          <w:lang w:val="en-GB"/>
        </w:rPr>
        <w:t xml:space="preserve"> 60 people. Data collection techniques using a questionnaire. Based on the results and discussion, it can be concluded that there are several roles of </w:t>
      </w:r>
      <w:r w:rsidR="00F4472A">
        <w:rPr>
          <w:rFonts w:ascii="Segoe UI" w:hAnsi="Segoe UI"/>
          <w:lang w:val="en-GB"/>
        </w:rPr>
        <w:t>CoP</w:t>
      </w:r>
      <w:r w:rsidRPr="006D6601">
        <w:rPr>
          <w:rFonts w:ascii="Segoe UI" w:hAnsi="Segoe UI"/>
          <w:lang w:val="en-GB"/>
        </w:rPr>
        <w:t xml:space="preserve"> activities in improving teacher performance, among others: through </w:t>
      </w:r>
      <w:r w:rsidR="00F4472A">
        <w:rPr>
          <w:rFonts w:ascii="Segoe UI" w:hAnsi="Segoe UI"/>
          <w:lang w:val="en-GB"/>
        </w:rPr>
        <w:t>CoP</w:t>
      </w:r>
      <w:r w:rsidRPr="006D6601">
        <w:rPr>
          <w:rFonts w:ascii="Segoe UI" w:hAnsi="Segoe UI"/>
          <w:lang w:val="en-GB"/>
        </w:rPr>
        <w:t xml:space="preserve"> teachers can discuss in construct learning tools, teachers were able to arrange lesson plans for active learning based on analysis of student needs, learning materials are arranged based on various learning sources, using media active learning, </w:t>
      </w:r>
      <w:r w:rsidR="00F4472A" w:rsidRPr="006D6601">
        <w:rPr>
          <w:rFonts w:ascii="Segoe UI" w:hAnsi="Segoe UI"/>
          <w:lang w:val="en-GB"/>
        </w:rPr>
        <w:t>analysing</w:t>
      </w:r>
      <w:r w:rsidRPr="006D6601">
        <w:rPr>
          <w:rFonts w:ascii="Segoe UI" w:hAnsi="Segoe UI"/>
          <w:lang w:val="en-GB"/>
        </w:rPr>
        <w:t xml:space="preserve"> evaluation test and conducting assessments according to active learning and student abilities</w:t>
      </w:r>
      <w:r w:rsidR="003A017F" w:rsidRPr="003A017F">
        <w:rPr>
          <w:rFonts w:ascii="Segoe UI" w:hAnsi="Segoe UI"/>
          <w:lang w:val="en-GB"/>
        </w:rPr>
        <w:t>.</w:t>
      </w:r>
    </w:p>
    <w:p w14:paraId="63754D53" w14:textId="5B005757" w:rsidR="009A06C2" w:rsidRDefault="00112262">
      <w:pPr>
        <w:pStyle w:val="BodyText"/>
        <w:spacing w:before="120"/>
        <w:ind w:left="1814" w:right="2266"/>
        <w:rPr>
          <w:rFonts w:ascii="Segoe UI"/>
        </w:rPr>
      </w:pPr>
      <w:r>
        <w:rPr>
          <w:rFonts w:ascii="Segoe UI"/>
          <w:b/>
          <w:color w:val="000099"/>
        </w:rPr>
        <w:t xml:space="preserve">Keywords: </w:t>
      </w:r>
      <w:r w:rsidR="00F4472A">
        <w:rPr>
          <w:rFonts w:ascii="Segoe UI" w:hAnsi="Segoe UI"/>
          <w:lang w:val="en-GB"/>
        </w:rPr>
        <w:t>community of practice</w:t>
      </w:r>
      <w:r w:rsidR="006D6601" w:rsidRPr="006D6601">
        <w:rPr>
          <w:rFonts w:ascii="Segoe UI"/>
        </w:rPr>
        <w:t>, teacher performance, primary schools</w:t>
      </w:r>
    </w:p>
    <w:p w14:paraId="2624426E" w14:textId="77777777" w:rsidR="009A06C2" w:rsidRDefault="009A06C2">
      <w:pPr>
        <w:pStyle w:val="BodyText"/>
        <w:jc w:val="left"/>
        <w:rPr>
          <w:rFonts w:ascii="Segoe UI"/>
          <w:sz w:val="24"/>
        </w:rPr>
      </w:pPr>
    </w:p>
    <w:p w14:paraId="58154CE0" w14:textId="77777777" w:rsidR="009A06C2" w:rsidRDefault="009A06C2">
      <w:pPr>
        <w:pStyle w:val="BodyText"/>
        <w:jc w:val="left"/>
        <w:rPr>
          <w:rFonts w:ascii="Segoe UI"/>
          <w:sz w:val="21"/>
        </w:rPr>
      </w:pPr>
    </w:p>
    <w:p w14:paraId="44332230" w14:textId="77777777" w:rsidR="009A06C2" w:rsidRDefault="00112262">
      <w:pPr>
        <w:pStyle w:val="Heading1"/>
        <w:spacing w:before="1"/>
      </w:pPr>
      <w:bookmarkStart w:id="1" w:name="INTRODUCTION"/>
      <w:bookmarkEnd w:id="1"/>
      <w:r>
        <w:t>INTRODUCTION</w:t>
      </w:r>
    </w:p>
    <w:p w14:paraId="78B36C18" w14:textId="640E76FB" w:rsidR="006D6601" w:rsidRPr="006D6601" w:rsidRDefault="006D6601" w:rsidP="006D6601">
      <w:pPr>
        <w:pStyle w:val="BodyText"/>
        <w:spacing w:before="60"/>
        <w:ind w:left="681" w:right="1128" w:firstLine="283"/>
        <w:rPr>
          <w:lang w:val="en-GB"/>
        </w:rPr>
      </w:pPr>
      <w:r w:rsidRPr="006D6601">
        <w:rPr>
          <w:lang w:val="en-GB"/>
        </w:rPr>
        <w:t>Education is the foundation of human civilization</w:t>
      </w:r>
      <w:r w:rsidR="00C305A8">
        <w:rPr>
          <w:lang w:val="en-GB"/>
        </w:rPr>
        <w:t xml:space="preserve"> </w:t>
      </w:r>
      <w:r w:rsidR="00C305A8">
        <w:rPr>
          <w:lang w:val="en-GB"/>
        </w:rPr>
        <w:fldChar w:fldCharType="begin" w:fldLock="1"/>
      </w:r>
      <w:r w:rsidR="00C305A8">
        <w:rPr>
          <w:lang w:val="en-GB"/>
        </w:rPr>
        <w:instrText>ADDIN CSL_CITATION {"citationItems":[{"id":"ITEM-1","itemData":{"DOI":"10.1063/1.5054417","ISBN":"9780735417304","ISSN":"15517616","abstract":"Most students have not mastered the concept of mathematics, because they assume that learning mathematics just memorize the formula alone so that learning math becomes meaningless. Students need a strong picture to be able to deduce from some examples that mathematics can be utilized in everyday life well by improving students' reasoning ability. And to help the description, we need a practical and so-mathematics learning media that utilizes Powerpoint ICT technology with the help of VBA Application for PowerPoint. The importance of VBA for PowerPoint creates a variety of student creations to create various evidence to achieve the right goal or so-called Open-Ended approach so that math can be meaningful. When applying the use of the Open-Ended approach in the classroom students are given an overview relating to elementary school mathematics. Researchers provide a basic overview to be developed by students in powerpoint by using VBA for PowerPoint. Researchers collect student statements and then write down and students start actively writing VBA for PowerPoint.","author":[{"dropping-particle":"","family":"Bernard","given":"Martin","non-dropping-particle":"","parse-names":false,"suffix":""},{"dropping-particle":"","family":"Chotimah","given":"Siti","non-dropping-particle":"","parse-names":false,"suffix":""}],"container-title":"AIP Conference Proceedings","id":"ITEM-1","issue":"September","issued":{"date-parts":[["2018"]]},"title":"Improve student mathematical reasoning ability with open-ended approach using VBA for powerpoint","type":"article-journal","volume":"2014"},"uris":["http://www.mendeley.com/documents/?uuid=6cced598-d439-479e-ae00-4fcf0e547de5"]},{"id":"ITEM-2","itemData":{"DOI":"https://doi.org/10.31004/cendekia.v3i2","author":[{"dropping-particle":"","family":"Kulsum","given":"Sri Islami","non-dropping-particle":"","parse-names":false,"suffix":""},{"dropping-particle":"","family":"Hidayat","given":"Wahyu","non-dropping-particle":"","parse-names":false,"suffix":""},{"dropping-particle":"","family":"Wijaya","given":"Tommy Tanu","non-dropping-particle":"","parse-names":false,"suffix":""},{"dropping-particle":"","family":"Kumala","given":"Jessica","non-dropping-particle":"","parse-names":false,"suffix":""}],"container-title":"Jurnal Cendekia : Jurnal Pendidikan Matematika","id":"ITEM-2","issue":"02","issued":{"date-parts":[["2019"]]},"page":"431-436","title":"Analysis on high school students’ mathematical creative thinking skills on the topic of sets","type":"article-journal","volume":"03"},"uris":["http://www.mendeley.com/documents/?uuid=ff259a84-a09f-4d52-80ff-8995a595482e"]},{"id":"ITEM-3","itemData":{"DOI":"10.1007/s11213-010-9183-3","ISSN":"1094429X","abstract":"Community-based action research helps students link subject matter to everyday life and developing sense of responsibility to their community. While combining research and a development into teaching engineering software which has been vastly conducted in engineering disciplines such as Electrical and Computer Engineering (ECE) and Computer Science (CS), including inclusive participatory research is yet to be fully developed. We participated in the NGO by providing information technology (IT) and/or assistive technology (AT). This paper examines the practice of action research in service-learning projects that aim to introduce more socially responsible studies in the context of engineering education. It begins by exploring different forms of action research that may benefit engineering disciplines with a focus on action engagement to improve students' involvement in marginalized communities. The article provides field-based reflections of the action research project and suggests ways in which practice of action research may increase socially responsive value in the professional development of student engineers. © 2010 Springer Science+Business Media, LLC.","author":[{"dropping-particle":"","family":"Chang","given":"Yao Jen","non-dropping-particle":"","parse-names":false,"suffix":""},{"dropping-particle":"","family":"Wang","given":"Tsen Yung","non-dropping-particle":"","parse-names":false,"suffix":""},{"dropping-particle":"","family":"Chen","given":"Shu Fang","non-dropping-particle":"","parse-names":false,"suffix":""},{"dropping-particle":"","family":"Liao","given":"Rhi Hua","non-dropping-particle":"","parse-names":false,"suffix":""}],"container-title":"Systemic Practice and Action Research","id":"ITEM-3","issue":"3","issued":{"date-parts":[["2011"]]},"page":"237-245","title":"Student Engineers as Agents of Change: Combining Social Inclusion in the Professional Development of Electrical and Computer Engineering Students","type":"article-journal","volume":"24"},"uris":["http://www.mendeley.com/documents/?uuid=028a8328-909c-4f8d-9929-d65ee365437b"]}],"mendeley":{"formattedCitation":"[1]–[3]","plainTextFormattedCitation":"[1]–[3]","previouslyFormattedCitation":"[1]–[3]"},"properties":{"noteIndex":0},"schema":"https://github.com/citation-style-language/schema/raw/master/csl-citation.json"}</w:instrText>
      </w:r>
      <w:r w:rsidR="00C305A8">
        <w:rPr>
          <w:lang w:val="en-GB"/>
        </w:rPr>
        <w:fldChar w:fldCharType="separate"/>
      </w:r>
      <w:r w:rsidR="00C305A8" w:rsidRPr="00C305A8">
        <w:rPr>
          <w:noProof/>
          <w:lang w:val="en-GB"/>
        </w:rPr>
        <w:t>[1]–[3]</w:t>
      </w:r>
      <w:r w:rsidR="00C305A8">
        <w:rPr>
          <w:lang w:val="en-GB"/>
        </w:rPr>
        <w:fldChar w:fldCharType="end"/>
      </w:r>
      <w:r w:rsidRPr="006D6601">
        <w:rPr>
          <w:lang w:val="en-GB"/>
        </w:rPr>
        <w:t>. The development of a civilization really depends on the quality of the education produces. Quality education is structured according to the needs of a dynamically developing society. One of the efforts to improve the quality of education is through e</w:t>
      </w:r>
      <w:r w:rsidR="00C305A8">
        <w:rPr>
          <w:lang w:val="en-GB"/>
        </w:rPr>
        <w:t xml:space="preserve">mpowering teachers </w:t>
      </w:r>
      <w:r w:rsidR="00C305A8">
        <w:rPr>
          <w:lang w:val="en-GB"/>
        </w:rPr>
        <w:fldChar w:fldCharType="begin" w:fldLock="1"/>
      </w:r>
      <w:r w:rsidR="00A93461">
        <w:rPr>
          <w:lang w:val="en-GB"/>
        </w:rPr>
        <w:instrText>ADDIN CSL_CITATION {"citationItems":[{"id":"ITEM-1","itemData":{"DOI":"10.1016/j.compedu.2015.12.010","ISSN":"03601315","abstract":"The Technological Pedagogical Content Knowledge (TPACK) framework is a commonly used conceptual tool in studies that consider technology integration into classrooms. Although the framework identifies categories of knowledge, it is limited due to its static classification of knowledge. The proposed TPACKing framework instead uses TPACK as a starting point for analyzing a teacher's knowledge construction practice. This qualitative multiple-case study uses the active understanding of TPACKing to illuminate differences in the processes of teachers previously identified as having TPACK. Teachers' TPACKing processes were mediated by individual pursuit of technological knowledge, the inclusion (or exclusion) of information from contextual interactions, and the pedagogical assumptions in the technological tool. These findings point to the relevance of the TPACKing lens and its use in analyzing teacher practice. The focus on knowledge construction may be useful when working with in-service teachers to provide learning opportunities related to technology integration.","author":[{"dropping-particle":"","family":"Olofson","given":"Mark W.","non-dropping-particle":"","parse-names":false,"suffix":""},{"dropping-particle":"","family":"Swallow","given":"Meredith J.C.","non-dropping-particle":"","parse-names":false,"suffix":""},{"dropping-particle":"","family":"Neumann","given":"Maureen D.","non-dropping-particle":"","parse-names":false,"suffix":""}],"container-title":"Computers and Education","id":"ITEM-1","issued":{"date-parts":[["2016"]]},"page":"188-201","publisher":"Elsevier Ltd","title":"TPACKing: A constructivist framing of TPACK to analyze teachers' construction of knowledge","type":"article-journal","volume":"95"},"uris":["http://www.mendeley.com/documents/?uuid=3c246886-4572-4353-a760-73ef2292779f"]},{"id":"ITEM-2","itemData":{"DOI":"10.1007/s11858-013-0539-x","ISSN":"18639690","abstract":"This paper presents a survey study aiming to systematically examine, analyse and review relevant research focusing on mathematics textbooks and hence identify future directions in this field of research. The literature surveyed is selected from different data sources, including mainly journal articles, research theses and conference proceedings. The survey revealed that important progress has been made over the last few decades in mathematics textbook research, though the major achievement has been concentrated in the areas of textbook analysis (including textbook comparison), and the use of textbooks in teaching and learning. It is overall no longer true that the textbook research in mathematics is \"scattered, inconclusive, and often trivial\" as described six decades ago; however, the development of research on mathematics textbooks has been unbalanced in different areas. Following the review and discussion, the paper proposes five needed directions for advancing the research in this field. © 2013 FIZ Karlsruhe.","author":[{"dropping-particle":"","family":"Fan","given":"Lianghuo","non-dropping-particle":"","parse-names":false,"suffix":""},{"dropping-particle":"","family":"Zhu","given":"Yan","non-dropping-particle":"","parse-names":false,"suffix":""},{"dropping-particle":"","family":"Miao","given":"Zhenzhen","non-dropping-particle":"","parse-names":false,"suffix":""}],"container-title":"ZDM - International Journal on Mathematics Education","id":"ITEM-2","issue":"5","issued":{"date-parts":[["2013"]]},"page":"633-646","title":"Textbook research in mathematics education: Development status and directions","type":"article-journal","volume":"45"},"uris":["http://www.mendeley.com/documents/?uuid=106be241-9ff4-4b7f-b290-adb7bceb8855"]}],"mendeley":{"formattedCitation":"[4], [5]","plainTextFormattedCitation":"[4], [5]","previouslyFormattedCitation":"[4], [5]"},"properties":{"noteIndex":0},"schema":"https://github.com/citation-style-language/schema/raw/master/csl-citation.json"}</w:instrText>
      </w:r>
      <w:r w:rsidR="00C305A8">
        <w:rPr>
          <w:lang w:val="en-GB"/>
        </w:rPr>
        <w:fldChar w:fldCharType="separate"/>
      </w:r>
      <w:r w:rsidR="00C305A8" w:rsidRPr="00C305A8">
        <w:rPr>
          <w:noProof/>
          <w:lang w:val="en-GB"/>
        </w:rPr>
        <w:t>[4], [5]</w:t>
      </w:r>
      <w:r w:rsidR="00C305A8">
        <w:rPr>
          <w:lang w:val="en-GB"/>
        </w:rPr>
        <w:fldChar w:fldCharType="end"/>
      </w:r>
      <w:r w:rsidRPr="006D6601">
        <w:rPr>
          <w:lang w:val="en-GB"/>
        </w:rPr>
        <w:t xml:space="preserve">. </w:t>
      </w:r>
      <w:r w:rsidR="00334846">
        <w:rPr>
          <w:lang w:val="en-GB"/>
        </w:rPr>
        <w:t>In Indonesia</w:t>
      </w:r>
      <w:r w:rsidRPr="006D6601">
        <w:rPr>
          <w:lang w:val="en-GB"/>
        </w:rPr>
        <w:t xml:space="preserve"> teachers</w:t>
      </w:r>
      <w:r w:rsidR="00334846">
        <w:rPr>
          <w:lang w:val="en-GB"/>
        </w:rPr>
        <w:t xml:space="preserve"> must</w:t>
      </w:r>
      <w:r w:rsidRPr="006D6601">
        <w:rPr>
          <w:lang w:val="en-GB"/>
        </w:rPr>
        <w:t xml:space="preserve"> to have (a) minimum academic qualifications of S--1 / D-IV, (b) competence as learning agents, namely pedagogical, personal, social, and professional competences, and (c) educator certificates. The mandate of the law emphasizes that teachers must continuously improve their competence through various efforts, namely: workshops, training, scientific writing activities, meetings in working groups and work deliberations, in this case through </w:t>
      </w:r>
      <w:r w:rsidRPr="00626CDC">
        <w:rPr>
          <w:lang w:val="en-GB"/>
        </w:rPr>
        <w:t>the</w:t>
      </w:r>
      <w:r w:rsidR="00626CDC" w:rsidRPr="00626CDC">
        <w:rPr>
          <w:lang w:val="en-GB"/>
        </w:rPr>
        <w:t xml:space="preserve"> Community of Practice</w:t>
      </w:r>
      <w:r w:rsidRPr="00626CDC">
        <w:rPr>
          <w:lang w:val="en-GB"/>
        </w:rPr>
        <w:t xml:space="preserve"> (</w:t>
      </w:r>
      <w:r w:rsidR="00626CDC">
        <w:rPr>
          <w:lang w:val="en-GB"/>
        </w:rPr>
        <w:t>CoP</w:t>
      </w:r>
      <w:r w:rsidRPr="00626CDC">
        <w:rPr>
          <w:lang w:val="en-GB"/>
        </w:rPr>
        <w:t>).</w:t>
      </w:r>
    </w:p>
    <w:p w14:paraId="1646BAB3" w14:textId="5418B123" w:rsidR="006D6601" w:rsidRPr="006D6601" w:rsidRDefault="00351C08" w:rsidP="006D6601">
      <w:pPr>
        <w:pStyle w:val="BodyText"/>
        <w:spacing w:before="60"/>
        <w:ind w:left="681" w:right="1128" w:firstLine="283"/>
        <w:rPr>
          <w:lang w:val="en-GB"/>
        </w:rPr>
      </w:pPr>
      <w:proofErr w:type="spellStart"/>
      <w:r>
        <w:rPr>
          <w:lang w:val="en-GB"/>
        </w:rPr>
        <w:lastRenderedPageBreak/>
        <w:t>CoP</w:t>
      </w:r>
      <w:proofErr w:type="spellEnd"/>
      <w:r>
        <w:rPr>
          <w:lang w:val="en-GB"/>
        </w:rPr>
        <w:t xml:space="preserve"> (KKG in Indonesia context)</w:t>
      </w:r>
      <w:r w:rsidR="006D6601" w:rsidRPr="006D6601">
        <w:rPr>
          <w:lang w:val="en-GB"/>
        </w:rPr>
        <w:t xml:space="preserve"> is a forum for professional development for primary school teachers. </w:t>
      </w:r>
      <w:r>
        <w:rPr>
          <w:lang w:val="en-GB"/>
        </w:rPr>
        <w:t>KKG</w:t>
      </w:r>
      <w:r w:rsidR="006D6601" w:rsidRPr="006D6601">
        <w:rPr>
          <w:lang w:val="en-GB"/>
        </w:rPr>
        <w:t xml:space="preserve"> can be said to be a concept of community practice (</w:t>
      </w:r>
      <w:proofErr w:type="spellStart"/>
      <w:r w:rsidR="006D6601" w:rsidRPr="006D6601">
        <w:rPr>
          <w:lang w:val="en-GB"/>
        </w:rPr>
        <w:t>CoP</w:t>
      </w:r>
      <w:proofErr w:type="spellEnd"/>
      <w:r w:rsidR="006D6601" w:rsidRPr="006D6601">
        <w:rPr>
          <w:lang w:val="en-GB"/>
        </w:rPr>
        <w:t>) which refers to the learning process that occurs when a community consisting of a group of people with the same goals work together to achieve these goals, in a small social system</w:t>
      </w:r>
      <w:r w:rsidR="00A93461">
        <w:rPr>
          <w:lang w:val="en-GB"/>
        </w:rPr>
        <w:fldChar w:fldCharType="begin" w:fldLock="1"/>
      </w:r>
      <w:r w:rsidR="00A93461">
        <w:rPr>
          <w:lang w:val="en-GB"/>
        </w:rPr>
        <w:instrText>ADDIN CSL_CITATION {"citationItems":[{"id":"ITEM-1","itemData":{"DOI":"10.1007/978-3-319-72778-3_20","ISBN":"9783319727783","abstract":"Social work has always emphasized the person-in-environment approach addressing individual and social problems. Integration of individuals seeking treatment within the community infrastructure is critical to success of interventions. The Council on Social Work Education (CSWE) prescribes the nature and direction of social work education through its Educational Policy and Accreditation Standards (EPAS) (2015). Integration of individuals seeking treatment within the community infrastructure is critical to success of interventions. The Affordable Care Act of 2010 further expanded access to community-based mental health and substance abuse treatment for nearly 62 million Americans (US Department for Health and Human Services, 2013). Thus, practice in this field has become synonymous with community practice in the present day. It requires social workers to adopt the systems approach to providing effective and impactful treatment for the affected population within their communities. This chapter helps to define the evolving meaning of community, illustrate the basic concepts of community practice, and highlight the benefits of community engagement in the field of mental health and addictions. It elucidates critical skills necessarily to practice in the community context while ensuring the health and well-being of the individuals and families we serve. (PsycINFO Database Record (c) 2019 APA, all rights reserved)","author":[{"dropping-particle":"","family":"Pardasani","given":"Manoj","non-dropping-particle":"","parse-names":false,"suffix":""}],"container-title":"New Directions in Treatment, Education, and Outreach for Mental Health and Addiction","id":"ITEM-1","issued":{"date-parts":[["2018"]]},"page":"299-313","title":"Teaching Students the Importance of Community Engagement and Awareness in the Areas of Mental Health and Addiction","type":"article-journal"},"uris":["http://www.mendeley.com/documents/?uuid=15dc9986-6e41-48fb-a823-04082b102675"]},{"id":"ITEM-2","itemData":{"DOI":"10.1007/978-3-030-23455-3_6","ISBN":"9783030234553","author":[{"dropping-particle":"","family":"Barry","given":"Margaret M.","non-dropping-particle":"","parse-names":false,"suffix":""}],"container-title":"Implementing Mental Health Promotion","id":"ITEM-2","issued":{"date-parts":[["2019"]]},"number-of-pages":"163-194","title":"Community Mental Health Promotion Principles and Strategies","type":"book"},"uris":["http://www.mendeley.com/documents/?uuid=2fea1e91-1a36-4c2a-9d6e-6f9d86124c7e"]}],"mendeley":{"formattedCitation":"[6], [7]","plainTextFormattedCitation":"[6], [7]","previouslyFormattedCitation":"[6], [7]"},"properties":{"noteIndex":0},"schema":"https://github.com/citation-style-language/schema/raw/master/csl-citation.json"}</w:instrText>
      </w:r>
      <w:r w:rsidR="00A93461">
        <w:rPr>
          <w:lang w:val="en-GB"/>
        </w:rPr>
        <w:fldChar w:fldCharType="separate"/>
      </w:r>
      <w:r w:rsidR="00A93461" w:rsidRPr="00A93461">
        <w:rPr>
          <w:noProof/>
          <w:lang w:val="en-GB"/>
        </w:rPr>
        <w:t>[6], [7]</w:t>
      </w:r>
      <w:r w:rsidR="00A93461">
        <w:rPr>
          <w:lang w:val="en-GB"/>
        </w:rPr>
        <w:fldChar w:fldCharType="end"/>
      </w:r>
      <w:r w:rsidR="006D6601" w:rsidRPr="006D6601">
        <w:rPr>
          <w:lang w:val="en-GB"/>
        </w:rPr>
        <w:t xml:space="preserve">. </w:t>
      </w:r>
      <w:r w:rsidR="006D6601" w:rsidRPr="00A93461">
        <w:rPr>
          <w:lang w:val="en-GB"/>
        </w:rPr>
        <w:t>Boylan</w:t>
      </w:r>
      <w:r w:rsidR="00A93461">
        <w:rPr>
          <w:lang w:val="en-GB"/>
        </w:rPr>
        <w:t xml:space="preserve"> </w:t>
      </w:r>
      <w:r w:rsidR="00A93461">
        <w:rPr>
          <w:lang w:val="en-GB"/>
        </w:rPr>
        <w:fldChar w:fldCharType="begin" w:fldLock="1"/>
      </w:r>
      <w:r w:rsidR="00A93461">
        <w:rPr>
          <w:lang w:val="en-GB"/>
        </w:rPr>
        <w:instrText>ADDIN CSL_CITATION {"citationItems":[{"id":"ITEM-1","itemData":{"DOI":"10.1016/j.tate.2009.08.005","ISSN":"0742051X","abstract":"The concept of legitimate peripheral participation was developed by considering informal learning contexts. Its applicability to school classrooms is problematic. This is particularly so when teacher centred and decontextualised procedural practices predominate as they do in 'usual school mathematics' classrooms. By considering the nature of social practice, learning relationships, identity and participation in such classrooms in relation to legitimate peripheral participation as a construct, both these features and the construct itself are explored and critiqued. To understand the complexity and multidimensionality of participation in both formal and informal learning contexts, the concept of ecologies of participation is proposed. © 2009 Elsevier Ltd. All rights reserved.","author":[{"dropping-particle":"","family":"Boylan","given":"Mark","non-dropping-particle":"","parse-names":false,"suffix":""}],"container-title":"Teaching and Teacher Education","id":"ITEM-1","issue":"1","issued":{"date-parts":[["2010"]]},"page":"61-70","publisher":"Elsevier Ltd","title":"Ecologies of participation in school classrooms","type":"article-journal","volume":"26"},"uris":["http://www.mendeley.com/documents/?uuid=62ad7ea7-3ece-4ce4-95a2-414ee720f3b9"]}],"mendeley":{"formattedCitation":"[8]","plainTextFormattedCitation":"[8]","previouslyFormattedCitation":"[8]"},"properties":{"noteIndex":0},"schema":"https://github.com/citation-style-language/schema/raw/master/csl-citation.json"}</w:instrText>
      </w:r>
      <w:r w:rsidR="00A93461">
        <w:rPr>
          <w:lang w:val="en-GB"/>
        </w:rPr>
        <w:fldChar w:fldCharType="separate"/>
      </w:r>
      <w:r w:rsidR="00A93461" w:rsidRPr="00A93461">
        <w:rPr>
          <w:noProof/>
          <w:lang w:val="en-GB"/>
        </w:rPr>
        <w:t>[8]</w:t>
      </w:r>
      <w:r w:rsidR="00A93461">
        <w:rPr>
          <w:lang w:val="en-GB"/>
        </w:rPr>
        <w:fldChar w:fldCharType="end"/>
      </w:r>
      <w:r w:rsidR="00A93461">
        <w:rPr>
          <w:lang w:val="en-GB"/>
        </w:rPr>
        <w:t xml:space="preserve"> </w:t>
      </w:r>
      <w:r w:rsidR="006D6601" w:rsidRPr="006D6601">
        <w:rPr>
          <w:lang w:val="en-GB"/>
        </w:rPr>
        <w:t xml:space="preserve">said that in one conceptualization, </w:t>
      </w:r>
      <w:proofErr w:type="spellStart"/>
      <w:r w:rsidR="006D6601" w:rsidRPr="006D6601">
        <w:rPr>
          <w:lang w:val="en-GB"/>
        </w:rPr>
        <w:t>CoP</w:t>
      </w:r>
      <w:proofErr w:type="spellEnd"/>
      <w:r w:rsidR="006D6601" w:rsidRPr="006D6601">
        <w:rPr>
          <w:lang w:val="en-GB"/>
        </w:rPr>
        <w:t xml:space="preserve"> is a social organization where learning and participation takes place. </w:t>
      </w:r>
      <w:r w:rsidR="00A93461">
        <w:rPr>
          <w:lang w:val="en-GB"/>
        </w:rPr>
        <w:t xml:space="preserve">  </w:t>
      </w:r>
      <w:proofErr w:type="spellStart"/>
      <w:r w:rsidR="00A93461">
        <w:rPr>
          <w:lang w:val="en-GB"/>
        </w:rPr>
        <w:t>Slatter</w:t>
      </w:r>
      <w:proofErr w:type="spellEnd"/>
      <w:r w:rsidR="00A93461">
        <w:rPr>
          <w:lang w:val="en-GB"/>
        </w:rPr>
        <w:t xml:space="preserve"> </w:t>
      </w:r>
      <w:r w:rsidR="00A93461">
        <w:rPr>
          <w:lang w:val="en-GB"/>
        </w:rPr>
        <w:fldChar w:fldCharType="begin" w:fldLock="1"/>
      </w:r>
      <w:r w:rsidR="003548F0">
        <w:rPr>
          <w:lang w:val="en-GB"/>
        </w:rPr>
        <w:instrText>ADDIN CSL_CITATION {"citationItems":[{"id":"ITEM-1","itemData":{"DOI":"10.1007/978-3-319-44687-5_49","ISBN":"9783319446875","author":[{"dropping-particle":"","family":"Slatter","given":"Wendy","non-dropping-particle":"","parse-names":false,"suffix":""},{"dropping-particle":"","family":"France","given":"Bev","non-dropping-particle":"","parse-names":false,"suffix":""}],"container-title":"Handbook ofTechnology Education","id":"ITEM-1","issued":{"date-parts":[["2018"]]},"page":"629-641","title":"Community of Practice: Pedagogical Strategies for Linking Communities of Practice to the Classroom","type":"chapter"},"uris":["http://www.mendeley.com/documents/?uuid=c76d5808-3ed2-49d8-a7e3-220ce3a8668c"]}],"mendeley":{"formattedCitation":"[9]","plainTextFormattedCitation":"[9]","previouslyFormattedCitation":"[9]"},"properties":{"noteIndex":0},"schema":"https://github.com/citation-style-language/schema/raw/master/csl-citation.json"}</w:instrText>
      </w:r>
      <w:r w:rsidR="00A93461">
        <w:rPr>
          <w:lang w:val="en-GB"/>
        </w:rPr>
        <w:fldChar w:fldCharType="separate"/>
      </w:r>
      <w:r w:rsidR="00A93461" w:rsidRPr="00A93461">
        <w:rPr>
          <w:noProof/>
          <w:lang w:val="en-GB"/>
        </w:rPr>
        <w:t>[9]</w:t>
      </w:r>
      <w:r w:rsidR="00A93461">
        <w:rPr>
          <w:lang w:val="en-GB"/>
        </w:rPr>
        <w:fldChar w:fldCharType="end"/>
      </w:r>
      <w:r w:rsidR="00A93461">
        <w:rPr>
          <w:lang w:val="en-GB"/>
        </w:rPr>
        <w:t xml:space="preserve"> </w:t>
      </w:r>
      <w:r w:rsidR="006D6601" w:rsidRPr="006D6601">
        <w:rPr>
          <w:lang w:val="en-GB"/>
        </w:rPr>
        <w:t xml:space="preserve">concluded that </w:t>
      </w:r>
      <w:proofErr w:type="spellStart"/>
      <w:r w:rsidR="006D6601" w:rsidRPr="006D6601">
        <w:rPr>
          <w:lang w:val="en-GB"/>
        </w:rPr>
        <w:t>CoP</w:t>
      </w:r>
      <w:proofErr w:type="spellEnd"/>
      <w:r w:rsidR="006D6601" w:rsidRPr="006D6601">
        <w:rPr>
          <w:lang w:val="en-GB"/>
        </w:rPr>
        <w:t xml:space="preserve">  is a group of people who share a concern or passion for something they do and learn how to do it better and interact regularly. </w:t>
      </w:r>
      <w:r w:rsidR="003548F0">
        <w:rPr>
          <w:lang w:val="en-GB"/>
        </w:rPr>
        <w:t xml:space="preserve">Rory </w:t>
      </w:r>
      <w:r w:rsidR="003548F0">
        <w:rPr>
          <w:lang w:val="en-GB"/>
        </w:rPr>
        <w:fldChar w:fldCharType="begin" w:fldLock="1"/>
      </w:r>
      <w:r w:rsidR="003548F0">
        <w:rPr>
          <w:lang w:val="en-GB"/>
        </w:rPr>
        <w:instrText>ADDIN CSL_CITATION {"citationItems":[{"id":"ITEM-1","itemData":{"DOI":"10.1007/978-981-13-3128-2_37","ISBN":"9789811331282","author":[{"dropping-particle":"","family":"Kokelaar","given":"Rory","non-dropping-particle":"","parse-names":false,"suffix":""}],"container-title":"Advancing Surgical Education, Innovation and Change in Professional Education","id":"ITEM-1","issued":{"date-parts":[["2019"]]},"page":"439-443","title":"Remaining “Grounded” in a Laparoscopic Community of Practice: The Qualitative Paradigm","type":"article-journal","volume":"17"},"uris":["http://www.mendeley.com/documents/?uuid=d7339626-c8e7-4ff5-817d-63309a025479"]}],"mendeley":{"formattedCitation":"[10]","plainTextFormattedCitation":"[10]","previouslyFormattedCitation":"[10]"},"properties":{"noteIndex":0},"schema":"https://github.com/citation-style-language/schema/raw/master/csl-citation.json"}</w:instrText>
      </w:r>
      <w:r w:rsidR="003548F0">
        <w:rPr>
          <w:lang w:val="en-GB"/>
        </w:rPr>
        <w:fldChar w:fldCharType="separate"/>
      </w:r>
      <w:r w:rsidR="003548F0" w:rsidRPr="003548F0">
        <w:rPr>
          <w:noProof/>
          <w:lang w:val="en-GB"/>
        </w:rPr>
        <w:t>[10]</w:t>
      </w:r>
      <w:r w:rsidR="003548F0">
        <w:rPr>
          <w:lang w:val="en-GB"/>
        </w:rPr>
        <w:fldChar w:fldCharType="end"/>
      </w:r>
      <w:r w:rsidR="006D6601" w:rsidRPr="006D6601">
        <w:rPr>
          <w:lang w:val="en-GB"/>
        </w:rPr>
        <w:t xml:space="preserve"> emphasizes that the </w:t>
      </w:r>
      <w:proofErr w:type="spellStart"/>
      <w:r>
        <w:rPr>
          <w:lang w:val="en-GB"/>
        </w:rPr>
        <w:t>CoP</w:t>
      </w:r>
      <w:proofErr w:type="spellEnd"/>
      <w:r w:rsidR="006D6601" w:rsidRPr="006D6601">
        <w:rPr>
          <w:lang w:val="en-GB"/>
        </w:rPr>
        <w:t xml:space="preserve"> is a working group that is oriented towards improving the quality of knowledge, teaching techniques, student teacher interactions, teaching methods, and others that focus on creating active teaching and learning activities.</w:t>
      </w:r>
    </w:p>
    <w:p w14:paraId="327520BF" w14:textId="5FDC0ECD" w:rsidR="006D6601" w:rsidRDefault="00351C08" w:rsidP="006D6601">
      <w:pPr>
        <w:pStyle w:val="BodyText"/>
        <w:spacing w:before="60"/>
        <w:ind w:left="681" w:right="1128" w:firstLine="283"/>
        <w:rPr>
          <w:lang w:val="en-GB"/>
        </w:rPr>
      </w:pPr>
      <w:proofErr w:type="spellStart"/>
      <w:r>
        <w:rPr>
          <w:lang w:val="en-GB"/>
        </w:rPr>
        <w:t>CoP</w:t>
      </w:r>
      <w:proofErr w:type="spellEnd"/>
      <w:r w:rsidR="006D6601" w:rsidRPr="006D6601">
        <w:rPr>
          <w:lang w:val="en-GB"/>
        </w:rPr>
        <w:t xml:space="preserve"> is specifically as a place for knowledge management to occur, which is defined as a place for useful and valuable knowledge, so it needs to be created, organized, shared and distributed</w:t>
      </w:r>
      <w:r w:rsidR="003548F0">
        <w:rPr>
          <w:lang w:val="en-GB"/>
        </w:rPr>
        <w:t xml:space="preserve"> </w:t>
      </w:r>
      <w:r w:rsidR="003548F0">
        <w:rPr>
          <w:lang w:val="en-GB"/>
        </w:rPr>
        <w:fldChar w:fldCharType="begin" w:fldLock="1"/>
      </w:r>
      <w:r w:rsidR="003548F0">
        <w:rPr>
          <w:lang w:val="en-GB"/>
        </w:rPr>
        <w:instrText>ADDIN CSL_CITATION {"citationItems":[{"id":"ITEM-1","itemData":{"DOI":"10.1007/978-3-030-27709-3","ISBN":"9783030277093","abstract":"This edited book examines modern foreign language teachers who research their own and others' experiences of identity construction in the context of living and teaching in UK institutions, primarily in the Higher Education sector. The book offers an insight into a key element of the educational and socio-political debate surrounding MFL in the UK: the teachers' voices and their sense of agency in constructing their professional identities. The contributors use a combination of empirical research and personal reflection to generate knowledge about MFL teachers' identity that can enhance how they are perceived in the social and educational establishments and raise awareness of key issues affecting the profession. This book will be of particular interest to language teachers, teacher trainers, applied linguists and students and scholars of modern foreign languages.","author":[{"dropping-particle":"","family":"Gallardo","given":"Matilde","non-dropping-particle":"","parse-names":false,"suffix":""}],"container-title":"Negotiating Identity in Modern Foreign Language Teaching","id":"ITEM-1","issued":{"date-parts":[["2019"]]},"number-of-pages":"1-209","publisher":"Springer International Publishing","title":"Negotiating identity in modern foreign language teaching","type":"book"},"uris":["http://www.mendeley.com/documents/?uuid=3c388195-70ac-4fc5-9b87-0f14cf7c1f99"]},{"id":"ITEM-2","itemData":{"DOI":"10.1057/978-1-137-57284-4","ISBN":"9781137572844","abstract":"This book is about how technologies are used in practice to support learning and teaching in higher education. Despite digitization and e-learning becoming ever-increasingly popular in university teaching settings, this book convincingly argues instead in favour of simple and convenient technologies, thus disrupting traditional patterns of learning, teaching and assessment. Michael Flavin uses Disruptive Innovation theory, Activity Theory and the Community of Practice theory as lenses through which to examine technology enhanced learning. This book will be of great interest to all academics with teaching responsibilities, as it illuminates how technologies are used in practice, and is also highly relevant to postgraduate students and researchers in education and technology enhanced learning. It will be especially valuable to leaders and policy-makers in higher education, as it provides insights to inform decision-making on technology enhanced learning at both an institutional and sectoral level.","author":[{"dropping-particle":"","family":"Flavin","given":"Michael","non-dropping-particle":"","parse-names":false,"suffix":""}],"container-title":"Disruptive Technology Enhanced Learning","id":"ITEM-2","issued":{"date-parts":[["2017"]]},"page":"87-109","title":"Disruptive Technology Enhanced Learning","type":"article-journal"},"uris":["http://www.mendeley.com/documents/?uuid=d19a8c9d-256c-446a-a97b-cd7be116465c"]}],"mendeley":{"formattedCitation":"[11], [12]","plainTextFormattedCitation":"[11], [12]","previouslyFormattedCitation":"[11], [12]"},"properties":{"noteIndex":0},"schema":"https://github.com/citation-style-language/schema/raw/master/csl-citation.json"}</w:instrText>
      </w:r>
      <w:r w:rsidR="003548F0">
        <w:rPr>
          <w:lang w:val="en-GB"/>
        </w:rPr>
        <w:fldChar w:fldCharType="separate"/>
      </w:r>
      <w:r w:rsidR="003548F0" w:rsidRPr="003548F0">
        <w:rPr>
          <w:noProof/>
          <w:lang w:val="en-GB"/>
        </w:rPr>
        <w:t>[11], [12]</w:t>
      </w:r>
      <w:r w:rsidR="003548F0">
        <w:rPr>
          <w:lang w:val="en-GB"/>
        </w:rPr>
        <w:fldChar w:fldCharType="end"/>
      </w:r>
      <w:r w:rsidR="006D6601" w:rsidRPr="006D6601">
        <w:rPr>
          <w:lang w:val="en-GB"/>
        </w:rPr>
        <w:t>. Therefore, efforts are needed to ensure that knowledge is created, captured, organized, and can be accessed and used as a valuable asset for personal development purposes</w:t>
      </w:r>
      <w:r w:rsidR="003548F0">
        <w:rPr>
          <w:lang w:val="en-GB"/>
        </w:rPr>
        <w:t xml:space="preserve"> </w:t>
      </w:r>
      <w:r w:rsidR="003548F0">
        <w:rPr>
          <w:lang w:val="en-GB"/>
        </w:rPr>
        <w:fldChar w:fldCharType="begin" w:fldLock="1"/>
      </w:r>
      <w:r w:rsidR="003548F0">
        <w:rPr>
          <w:lang w:val="en-GB"/>
        </w:rPr>
        <w:instrText>ADDIN CSL_CITATION {"citationItems":[{"id":"ITEM-1","itemData":{"DOI":"10.1007/978-981-10-2879-3_19","ISBN":"9789811028793","author":[{"dropping-particle":"","family":"Adie","given":"Lenore","non-dropping-particle":"","parse-names":false,"suffix":""},{"dropping-particle":"","family":"Mergler","given":"Amanda","non-dropping-particle":"","parse-names":false,"suffix":""},{"dropping-particle":"","family":"Alford","given":"Jennifer","non-dropping-particle":"","parse-names":false,"suffix":""},{"dropping-particle":"","family":"Chandra","given":"Vinesh","non-dropping-particle":"","parse-names":false,"suffix":""},{"dropping-particle":"","family":"Hepple","given":"Erika","non-dropping-particle":"","parse-names":false,"suffix":""}],"container-title":"Communities of Practice","id":"ITEM-1","issued":{"date-parts":[["2017"]]},"page":"403-419","title":"Teacher Educators’ Critical Reflection on Becoming and Belonging to a Community of Practice","type":"article-journal"},"uris":["http://www.mendeley.com/documents/?uuid=1a203fc5-bdb1-4cf1-97a6-73dd6e1d2194"]},{"id":"ITEM-2","itemData":{"DOI":"10.1007/978-3-319-12688-3","ISBN":"9783319126883","abstract":"Suppose a person is engaged in a complex activity, such as teaching. What determines what that person does, on a moment-by-moment basis, as he or she engages in that activity? What resources does the person draw upon, and why? What shapes the choices the person makes? I claim that if you know enough about a teacher’s knowledge, goals, and beliefs, you can explain every decision he or she makes, in the midst of teaching. In this paper I give examples showing what shapes teachers’ decision-making, and explain the theory.","author":[{"dropping-particle":"","family":"Movshovitz-hadar","given":"Nitsa","non-dropping-particle":"","parse-names":false,"suffix":""},{"dropping-particle":"","family":"Shriki","given":"Atara","non-dropping-particle":"","parse-names":false,"suffix":""}],"container-title":"The Proceedings of the 12th International Congress on Mathematical Education","id":"ITEM-2","issued":{"date-parts":[["2015"]]},"page":"597-600","title":"The Proceedings of the 12th International Congress on Mathematical Education","type":"article-journal"},"uris":["http://www.mendeley.com/documents/?uuid=cad58d1b-e53a-4be3-8d67-16de350fc2c4"]}],"mendeley":{"formattedCitation":"[13], [14]","plainTextFormattedCitation":"[13], [14]","previouslyFormattedCitation":"[13], [14]"},"properties":{"noteIndex":0},"schema":"https://github.com/citation-style-language/schema/raw/master/csl-citation.json"}</w:instrText>
      </w:r>
      <w:r w:rsidR="003548F0">
        <w:rPr>
          <w:lang w:val="en-GB"/>
        </w:rPr>
        <w:fldChar w:fldCharType="separate"/>
      </w:r>
      <w:r w:rsidR="003548F0" w:rsidRPr="003548F0">
        <w:rPr>
          <w:noProof/>
          <w:lang w:val="en-GB"/>
        </w:rPr>
        <w:t>[13], [14]</w:t>
      </w:r>
      <w:r w:rsidR="003548F0">
        <w:rPr>
          <w:lang w:val="en-GB"/>
        </w:rPr>
        <w:fldChar w:fldCharType="end"/>
      </w:r>
      <w:r w:rsidR="006D6601" w:rsidRPr="006D6601">
        <w:rPr>
          <w:lang w:val="en-GB"/>
        </w:rPr>
        <w:t xml:space="preserve">. </w:t>
      </w:r>
      <w:r w:rsidR="003548F0">
        <w:rPr>
          <w:lang w:val="en-GB"/>
        </w:rPr>
        <w:t xml:space="preserve">Evans </w:t>
      </w:r>
      <w:r w:rsidR="003548F0">
        <w:rPr>
          <w:lang w:val="en-GB"/>
        </w:rPr>
        <w:fldChar w:fldCharType="begin" w:fldLock="1"/>
      </w:r>
      <w:r w:rsidR="003548F0">
        <w:rPr>
          <w:lang w:val="en-GB"/>
        </w:rPr>
        <w:instrText>ADDIN CSL_CITATION {"citationItems":[{"id":"ITEM-1","itemData":{"ISSN":"8756-3894","abstract":"Over the space of a year, I have conducted user, task and context analyses as part of a larger project to develop a knowledge management (KM) system for the U.S. Navy. In this article, I share that experience as well as point out a few of the challenges that I encountered. The goal is to offer just one possible path that human performance (HP) technologists might take to meet the theoretical and practical challenges presented by knowledge management precepts and practices. Thinking about knowledge as a process and contemplating interventions at collective and organizational levels are not easy tasks, especially given our conventional roots. Fortunately, there are emerging perspectives that may greatly facilitate the HP technologist's venture into this arena. I suggest that we begin to use these and related theories to inform and improve development.","author":[{"dropping-particle":"","family":"Evans","given":"Michael","non-dropping-particle":"","parse-names":false,"suffix":""}],"container-title":"TechTrends: Linking Research &amp; Practice to Improve Learning","id":"ITEM-1","issue":"2","issued":{"date-parts":[["2004"]]},"page":"48-52","title":"The Challenges of Knowledge Management to Human Performance Technology.","type":"article-journal","volume":"48"},"uris":["http://www.mendeley.com/documents/?uuid=0709614d-11b0-4994-841d-ba6360382d32"]}],"mendeley":{"formattedCitation":"[15]","plainTextFormattedCitation":"[15]","previouslyFormattedCitation":"[15]"},"properties":{"noteIndex":0},"schema":"https://github.com/citation-style-language/schema/raw/master/csl-citation.json"}</w:instrText>
      </w:r>
      <w:r w:rsidR="003548F0">
        <w:rPr>
          <w:lang w:val="en-GB"/>
        </w:rPr>
        <w:fldChar w:fldCharType="separate"/>
      </w:r>
      <w:r w:rsidR="003548F0" w:rsidRPr="003548F0">
        <w:rPr>
          <w:noProof/>
          <w:lang w:val="en-GB"/>
        </w:rPr>
        <w:t>[15]</w:t>
      </w:r>
      <w:r w:rsidR="003548F0">
        <w:rPr>
          <w:lang w:val="en-GB"/>
        </w:rPr>
        <w:fldChar w:fldCharType="end"/>
      </w:r>
      <w:r w:rsidR="003548F0">
        <w:rPr>
          <w:lang w:val="en-GB"/>
        </w:rPr>
        <w:t xml:space="preserve"> and Kramer </w:t>
      </w:r>
      <w:r w:rsidR="003548F0">
        <w:rPr>
          <w:lang w:val="en-GB"/>
        </w:rPr>
        <w:fldChar w:fldCharType="begin" w:fldLock="1"/>
      </w:r>
      <w:r w:rsidR="003548F0">
        <w:rPr>
          <w:lang w:val="en-GB"/>
        </w:rPr>
        <w:instrText>ADDIN CSL_CITATION {"citationItems":[{"id":"ITEM-1","itemData":{"DOI":"10.1007/s11858-015-0705-4","ISSN":"18639704","abstract":"Due to the need for measurement instruments that allow an investigation of teachers’ situational cognition and thus go beyond the limited scope of classical paper-and-pencil-tests, we ask how a specific video-based measurement of teachers’ classroom management expertise can provide additional information when compared with an established paper-and-pencil-test that broadly covers mathematics teachers’ general pedagogical knowledge. For this, we apply the general pedagogical knowledge test previously developed in the Teacher Education and Development Study—Mathematics (TEDS-M) comprising knowledge of structuring lessons (‘structure’); motivating students and managing the classroom (‘motivation/classroom management’); dealing with heterogeneous learning groups (‘adaptivity’); and assessing students (‘assessment’). Using test data of 188 novice teachers, advanced beginners, and expert teachers, we raise questions regarding the two tests’ (1) structural relations, (2) expert-novice differences, and (3) predictive validity. Findings: (1a) classroom management expertise can be empirically separated from general pedagogical knowledge, although the two constructs are positively inter-correlated (medium effect size), (1b) classroom management expertise is more highly correlated with pedagogical knowledge of classroom management than with pedagogical knowledge of ‘adaptivity’, ‘structure’, and ‘assessment’, (1c) classroom management expertise is more highly correlated with procedural pedagogical knowledge (cognitive demand ‘generate’) than with declarative pedagogical knowledge (cognitive demands ‘recall’ and ‘understand/analyze’), (2) novice teachers as well as advanced beginners are outperformed by expert teachers, and (3) classroom management expertise, compared with general pedagogical knowledge, is a stronger predictor for instructional quality aspects of classroom management as rated by students.","author":[{"dropping-particle":"","family":"König","given":"Johannes","non-dropping-particle":"","parse-names":false,"suffix":""},{"dropping-particle":"","family":"Kramer","given":"Charlotte","non-dropping-particle":"","parse-names":false,"suffix":""}],"container-title":"ZDM - Mathematics Education","id":"ITEM-1","issue":"1-2","issued":{"date-parts":[["2016"]]},"page":"139-151","publisher":"Springer Berlin Heidelberg","title":"Teacher professional knowledge and classroom management: on the relation of general pedagogical knowledge (GPK) and classroom management expertise (CME)","type":"article-journal","volume":"48"},"uris":["http://www.mendeley.com/documents/?uuid=c5228903-b40e-4177-bf14-3cb1ac84cb14"]}],"mendeley":{"formattedCitation":"[16]","plainTextFormattedCitation":"[16]","previouslyFormattedCitation":"[16]"},"properties":{"noteIndex":0},"schema":"https://github.com/citation-style-language/schema/raw/master/csl-citation.json"}</w:instrText>
      </w:r>
      <w:r w:rsidR="003548F0">
        <w:rPr>
          <w:lang w:val="en-GB"/>
        </w:rPr>
        <w:fldChar w:fldCharType="separate"/>
      </w:r>
      <w:r w:rsidR="003548F0" w:rsidRPr="003548F0">
        <w:rPr>
          <w:noProof/>
          <w:lang w:val="en-GB"/>
        </w:rPr>
        <w:t>[16]</w:t>
      </w:r>
      <w:r w:rsidR="003548F0">
        <w:rPr>
          <w:lang w:val="en-GB"/>
        </w:rPr>
        <w:fldChar w:fldCharType="end"/>
      </w:r>
      <w:r w:rsidR="003548F0">
        <w:rPr>
          <w:lang w:val="en-GB"/>
        </w:rPr>
        <w:t xml:space="preserve"> </w:t>
      </w:r>
      <w:r w:rsidR="006D6601" w:rsidRPr="006D6601">
        <w:rPr>
          <w:lang w:val="en-GB"/>
        </w:rPr>
        <w:t>emphasize that knowledge management is an effort to create sharing knowledge and developing knowledge between individuals because knowledge has been considered a major commodity. Thus the main purpose of knowledge management is knowledge sharing</w:t>
      </w:r>
      <w:r w:rsidR="003F4A85">
        <w:rPr>
          <w:lang w:val="en-GB"/>
        </w:rPr>
        <w:t xml:space="preserve"> (</w:t>
      </w:r>
      <w:r w:rsidR="003F4A85">
        <w:rPr>
          <w:rFonts w:ascii="Segoe UI" w:hAnsi="Segoe UI"/>
          <w:b/>
          <w:color w:val="000099"/>
          <w:sz w:val="16"/>
        </w:rPr>
        <w:t>Figure</w:t>
      </w:r>
      <w:r w:rsidR="003F4A85">
        <w:rPr>
          <w:rFonts w:ascii="Segoe UI" w:hAnsi="Segoe UI"/>
          <w:b/>
          <w:color w:val="000099"/>
          <w:spacing w:val="-4"/>
          <w:sz w:val="16"/>
        </w:rPr>
        <w:t xml:space="preserve"> </w:t>
      </w:r>
      <w:r w:rsidR="003F4A85">
        <w:rPr>
          <w:rFonts w:ascii="Segoe UI" w:hAnsi="Segoe UI"/>
          <w:b/>
          <w:color w:val="000099"/>
          <w:sz w:val="16"/>
        </w:rPr>
        <w:t>1</w:t>
      </w:r>
      <w:r w:rsidR="003F4A85">
        <w:rPr>
          <w:lang w:val="en-GB"/>
        </w:rPr>
        <w:t>)</w:t>
      </w:r>
      <w:r w:rsidR="006D6601" w:rsidRPr="006D6601">
        <w:rPr>
          <w:lang w:val="en-GB"/>
        </w:rPr>
        <w:t>, which describes the interaction people, two or more people, in communication process that aims to improve and develop the self of each membe</w:t>
      </w:r>
      <w:r w:rsidR="003548F0">
        <w:rPr>
          <w:lang w:val="en-GB"/>
        </w:rPr>
        <w:t>r</w:t>
      </w:r>
      <w:r w:rsidR="006D6601" w:rsidRPr="006D6601">
        <w:rPr>
          <w:lang w:val="en-GB"/>
        </w:rPr>
        <w:t xml:space="preserve">. Through knowledge sharing activities, it is possible for the creation of new knowledge to produce new innovations. It is hoped that the </w:t>
      </w:r>
      <w:r>
        <w:rPr>
          <w:lang w:val="en-GB"/>
        </w:rPr>
        <w:t>CoP</w:t>
      </w:r>
      <w:r w:rsidR="006D6601" w:rsidRPr="006D6601">
        <w:rPr>
          <w:lang w:val="en-GB"/>
        </w:rPr>
        <w:t xml:space="preserve"> will be able to change the mindset of each member so that it becomes a place for knowledge sharing</w:t>
      </w:r>
    </w:p>
    <w:p w14:paraId="5276104F" w14:textId="77777777" w:rsidR="006D6601" w:rsidRDefault="006D6601" w:rsidP="006D6601">
      <w:pPr>
        <w:spacing w:before="101"/>
        <w:ind w:left="681"/>
        <w:jc w:val="center"/>
        <w:rPr>
          <w:rFonts w:ascii="Segoe UI" w:hAnsi="Segoe UI"/>
          <w:b/>
          <w:color w:val="000099"/>
          <w:sz w:val="16"/>
          <w:lang w:val="id-ID"/>
        </w:rPr>
      </w:pPr>
      <w:r w:rsidRPr="00EC3041">
        <w:rPr>
          <w:rFonts w:eastAsiaTheme="minorHAnsi" w:cs="Times New Roman"/>
          <w:noProof/>
          <w:lang w:bidi="ar-SA"/>
        </w:rPr>
        <w:drawing>
          <wp:inline distT="0" distB="0" distL="0" distR="0" wp14:anchorId="367C0691" wp14:editId="4F14B95F">
            <wp:extent cx="3814824" cy="3295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444"/>
                    <a:stretch/>
                  </pic:blipFill>
                  <pic:spPr bwMode="auto">
                    <a:xfrm>
                      <a:off x="0" y="0"/>
                      <a:ext cx="3814824" cy="3295650"/>
                    </a:xfrm>
                    <a:prstGeom prst="rect">
                      <a:avLst/>
                    </a:prstGeom>
                    <a:noFill/>
                    <a:ln>
                      <a:noFill/>
                    </a:ln>
                    <a:extLst>
                      <a:ext uri="{53640926-AAD7-44D8-BBD7-CCE9431645EC}">
                        <a14:shadowObscured xmlns:a14="http://schemas.microsoft.com/office/drawing/2010/main"/>
                      </a:ext>
                    </a:extLst>
                  </pic:spPr>
                </pic:pic>
              </a:graphicData>
            </a:graphic>
          </wp:inline>
        </w:drawing>
      </w:r>
    </w:p>
    <w:p w14:paraId="165C8723" w14:textId="77777777" w:rsidR="006D6601" w:rsidRDefault="006D6601" w:rsidP="006D6601">
      <w:pPr>
        <w:spacing w:before="101"/>
        <w:ind w:left="1843"/>
        <w:rPr>
          <w:rFonts w:ascii="Segoe UI" w:hAnsi="Segoe UI"/>
          <w:sz w:val="16"/>
        </w:rPr>
      </w:pPr>
      <w:r>
        <w:rPr>
          <w:rFonts w:ascii="Segoe UI" w:hAnsi="Segoe UI"/>
          <w:b/>
          <w:color w:val="000099"/>
          <w:sz w:val="16"/>
        </w:rPr>
        <w:t>Figure</w:t>
      </w:r>
      <w:r>
        <w:rPr>
          <w:rFonts w:ascii="Segoe UI" w:hAnsi="Segoe UI"/>
          <w:b/>
          <w:color w:val="000099"/>
          <w:spacing w:val="-4"/>
          <w:sz w:val="16"/>
        </w:rPr>
        <w:t xml:space="preserve"> </w:t>
      </w:r>
      <w:r>
        <w:rPr>
          <w:rFonts w:ascii="Segoe UI" w:hAnsi="Segoe UI"/>
          <w:b/>
          <w:color w:val="000099"/>
          <w:sz w:val="16"/>
        </w:rPr>
        <w:t>1.</w:t>
      </w:r>
      <w:r>
        <w:rPr>
          <w:rFonts w:ascii="Segoe UI" w:hAnsi="Segoe UI"/>
          <w:b/>
          <w:color w:val="000099"/>
          <w:spacing w:val="-5"/>
          <w:sz w:val="16"/>
        </w:rPr>
        <w:t xml:space="preserve"> </w:t>
      </w:r>
      <w:r w:rsidR="003548F0">
        <w:rPr>
          <w:rFonts w:ascii="Segoe UI" w:hAnsi="Segoe UI"/>
          <w:sz w:val="16"/>
        </w:rPr>
        <w:t xml:space="preserve">Knowledge Sharing cycle </w:t>
      </w:r>
      <w:r w:rsidR="003548F0">
        <w:rPr>
          <w:rFonts w:ascii="Segoe UI" w:hAnsi="Segoe UI"/>
          <w:sz w:val="16"/>
        </w:rPr>
        <w:fldChar w:fldCharType="begin" w:fldLock="1"/>
      </w:r>
      <w:r w:rsidR="008F29EE">
        <w:rPr>
          <w:rFonts w:ascii="Segoe UI" w:hAnsi="Segoe UI"/>
          <w:sz w:val="16"/>
        </w:rPr>
        <w:instrText>ADDIN CSL_CITATION {"citationItems":[{"id":"ITEM-1","itemData":{"DOI":"10.1007/978-3-319-71054-9_40","ISBN":"9783319710549","abstract":"According to Pearson's Law: ``That which is measured improves.{''} But some important constructs, like problem-solving skill, are generally viewed as very difficult to measure for a variety of reasons (e.g., lack of a clear and agreed- upon definition, psychological and/or statistical multidimensionality of the construct, subjectivity of scoring, and so on). Adding to the challenge of validly measuring problem-solving skill is that formal education settings tend to focus only on well-structured problems - those that have correct and incorrect answers. However, these problems tend to have little transfer to the real world. In short, there is a gap in the kinds of problems being assessed and taught in schools and those desired in workplace environments. In this chapter, we focus on how game-based immersive environments, such as well-designed video games, can be used to both measure and promote the development of problem-solving skills in formal education settings. In this chapter, we discuss the theoretical foundations of problem-solving and provide a worked example of assessing it from gameplay using a well-designed video game. We conclude the chapter with a discussion on future implications for using game-based environments to measure and promote problem-solving skills in education.","author":[{"dropping-particle":"","family":"Shute","given":"Valerie J.","non-dropping-particle":"","parse-names":false,"suffix":""},{"dropping-particle":"","family":"Emihovich","given":"Benjamin","non-dropping-particle":"","parse-names":false,"suffix":""}],"container-title":"Second Handbook ofInformation Technology in Primary and Secondary Education","id":"ITEM-1","issued":{"date-parts":[["2018"]]},"page":"635-648","title":"Assessing Problem-Solving Skills in Game-Based Immersive Environments","type":"chapter"},"uris":["http://www.mendeley.com/documents/?uuid=465194ec-ffa3-43fc-83d4-04f986d77407"]}],"mendeley":{"formattedCitation":"[17]","plainTextFormattedCitation":"[17]","previouslyFormattedCitation":"[17]"},"properties":{"noteIndex":0},"schema":"https://github.com/citation-style-language/schema/raw/master/csl-citation.json"}</w:instrText>
      </w:r>
      <w:r w:rsidR="003548F0">
        <w:rPr>
          <w:rFonts w:ascii="Segoe UI" w:hAnsi="Segoe UI"/>
          <w:sz w:val="16"/>
        </w:rPr>
        <w:fldChar w:fldCharType="separate"/>
      </w:r>
      <w:r w:rsidR="003548F0" w:rsidRPr="003548F0">
        <w:rPr>
          <w:rFonts w:ascii="Segoe UI" w:hAnsi="Segoe UI"/>
          <w:noProof/>
          <w:sz w:val="16"/>
        </w:rPr>
        <w:t>[17]</w:t>
      </w:r>
      <w:r w:rsidR="003548F0">
        <w:rPr>
          <w:rFonts w:ascii="Segoe UI" w:hAnsi="Segoe UI"/>
          <w:sz w:val="16"/>
        </w:rPr>
        <w:fldChar w:fldCharType="end"/>
      </w:r>
    </w:p>
    <w:p w14:paraId="76B8F46C" w14:textId="77777777" w:rsidR="006D6601" w:rsidRPr="006D6601" w:rsidRDefault="006D6601" w:rsidP="006D6601">
      <w:pPr>
        <w:pStyle w:val="BodyText"/>
        <w:spacing w:before="60"/>
        <w:ind w:right="1128"/>
      </w:pPr>
    </w:p>
    <w:p w14:paraId="3085C19B" w14:textId="77777777" w:rsidR="009A06C2" w:rsidRDefault="009A06C2" w:rsidP="003A017F">
      <w:pPr>
        <w:pStyle w:val="BodyText"/>
        <w:spacing w:before="60"/>
        <w:ind w:left="681" w:right="1128" w:firstLine="283"/>
        <w:rPr>
          <w:sz w:val="20"/>
        </w:rPr>
      </w:pPr>
    </w:p>
    <w:p w14:paraId="16612037" w14:textId="77777777" w:rsidR="009A06C2" w:rsidRDefault="009A06C2">
      <w:pPr>
        <w:pStyle w:val="BodyText"/>
        <w:spacing w:before="10"/>
        <w:jc w:val="left"/>
        <w:rPr>
          <w:sz w:val="15"/>
        </w:rPr>
      </w:pPr>
    </w:p>
    <w:p w14:paraId="271DADB5" w14:textId="77777777" w:rsidR="009A06C2" w:rsidRDefault="009A06C2">
      <w:pPr>
        <w:rPr>
          <w:rFonts w:ascii="Segoe UI"/>
        </w:rPr>
        <w:sectPr w:rsidR="009A06C2" w:rsidSect="000A17DA">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20" w:right="0" w:bottom="280" w:left="1020" w:header="1262" w:footer="720" w:gutter="0"/>
          <w:pgNumType w:start="27"/>
          <w:cols w:space="720"/>
        </w:sectPr>
      </w:pPr>
    </w:p>
    <w:p w14:paraId="389DB66C" w14:textId="77777777" w:rsidR="009A06C2" w:rsidRDefault="009A06C2">
      <w:pPr>
        <w:pStyle w:val="BodyText"/>
        <w:spacing w:before="3"/>
        <w:jc w:val="left"/>
        <w:rPr>
          <w:rFonts w:ascii="Segoe UI"/>
          <w:sz w:val="14"/>
        </w:rPr>
      </w:pPr>
    </w:p>
    <w:p w14:paraId="156C1385" w14:textId="77777777" w:rsidR="009A06C2" w:rsidRDefault="009A06C2">
      <w:pPr>
        <w:pStyle w:val="BodyText"/>
        <w:spacing w:before="4"/>
        <w:jc w:val="left"/>
        <w:rPr>
          <w:rFonts w:ascii="Segoe UI"/>
          <w:sz w:val="13"/>
        </w:rPr>
      </w:pPr>
    </w:p>
    <w:p w14:paraId="6E359753" w14:textId="011774CC" w:rsidR="006D6601" w:rsidRPr="006D6601" w:rsidRDefault="006D6601" w:rsidP="006D6601">
      <w:pPr>
        <w:pStyle w:val="BodyText"/>
        <w:spacing w:before="93"/>
        <w:ind w:left="709" w:right="1109" w:firstLine="284"/>
        <w:rPr>
          <w:lang w:val="en-GB"/>
        </w:rPr>
      </w:pPr>
      <w:r w:rsidRPr="006D6601">
        <w:rPr>
          <w:lang w:val="en-GB"/>
        </w:rPr>
        <w:t xml:space="preserve">The objectives of the </w:t>
      </w:r>
      <w:r w:rsidR="00351C08">
        <w:rPr>
          <w:lang w:val="en-GB"/>
        </w:rPr>
        <w:t>CoP</w:t>
      </w:r>
      <w:r w:rsidRPr="006D6601">
        <w:rPr>
          <w:lang w:val="en-GB"/>
        </w:rPr>
        <w:t xml:space="preserve"> are 1) broadening the teachers’ insight and knowledge; 2) provide opportunities for working groups members or work deliberations to share experiences and provide mutual assistance and feedback; 3) provide opportunities for working groups members or work discussion to share experiences and provide mutual assistance and feedback; 4) increasing knowledge and skills, and adopting a renewal approach in learning that is more professional for participants in work groups or work discussion; 5) empowering and assisting working group members in carrying out learning tasks at school; 6) changing the work culture of working group members or working discussion (increasing knowledge, competence and performance) and developing teacher professionalism through professional development activities at the </w:t>
      </w:r>
      <w:r w:rsidR="00351C08">
        <w:rPr>
          <w:lang w:val="en-GB"/>
        </w:rPr>
        <w:t>CoP</w:t>
      </w:r>
      <w:r w:rsidRPr="006D6601">
        <w:rPr>
          <w:lang w:val="en-GB"/>
        </w:rPr>
        <w:t xml:space="preserve"> level; 7) improving the quality of education and learning process as reflected in the student learning outcomes improvement, and 8) increasing teacher competence throu</w:t>
      </w:r>
      <w:r w:rsidR="00334846">
        <w:rPr>
          <w:lang w:val="en-GB"/>
        </w:rPr>
        <w:t xml:space="preserve">gh activities at the </w:t>
      </w:r>
      <w:r w:rsidR="00351C08">
        <w:rPr>
          <w:lang w:val="en-GB"/>
        </w:rPr>
        <w:t>CoP</w:t>
      </w:r>
      <w:r w:rsidR="00334846">
        <w:rPr>
          <w:lang w:val="en-GB"/>
        </w:rPr>
        <w:t xml:space="preserve"> level </w:t>
      </w:r>
      <w:r w:rsidR="00334846">
        <w:rPr>
          <w:lang w:val="en-GB"/>
        </w:rPr>
        <w:fldChar w:fldCharType="begin" w:fldLock="1"/>
      </w:r>
      <w:r w:rsidR="00CF52C2">
        <w:rPr>
          <w:lang w:val="en-GB"/>
        </w:rPr>
        <w:instrText>ADDIN CSL_CITATION {"citationItems":[{"id":"ITEM-1","itemData":{"DOI":"10.18269/jpmipa.v18i2.1","ISSN":"1412-0917","abstract":"This research studies mathematical communication and representation through problem based-learning which is developed by design research. There are two objectives of this research. First, in short term, the research is conducted to know: how students‘ mathematical communication and representation develops, does classroom culture support the achievement of basic-competence, and what are students‘ learning obstacles. Second, in long term, this research is conducted to develop ―a theory</w:instrText>
      </w:r>
      <w:r w:rsidR="00CF52C2">
        <w:rPr>
          <w:rFonts w:ascii="Times New Roman" w:hAnsi="Times New Roman" w:cs="Times New Roman"/>
          <w:lang w:val="en-GB"/>
        </w:rPr>
        <w:instrText>‖</w:instrText>
      </w:r>
      <w:r w:rsidR="00CF52C2">
        <w:rPr>
          <w:lang w:val="en-GB"/>
        </w:rPr>
        <w:instrText xml:space="preserve"> in mathematics education. These two objectives are expected to be achieved through developmental research (in this case using design research). The first objective is achieved by design research which includes three phases: preliminary design, experiment, and retrospective analysis. The preliminary research showed that: (i) mathematical communication and representation could be developed through contextual learning materials, proper teacher‘s intervention, various learning-teaching settings, a didactical situation developed by the teacher, and the teacher‘s effort in connecting didactical situations i.e., between learning materials and students, and between students and the teacher; (ii) students‘ difficulties include: a difficulty in communicating mathematical idea verbally, representing mathematical idea algebraically, using mathematical representation to solve problems, and proposing argumentation; and (iii) the teacher‘s difficulty is analyzing students‘ mathematical communication and representations.Key Words: learning obstacles, mathematical communication, mathematical representation, design research","author":[{"dropping-particle":"","family":"Juandi","given":"Dadang","non-dropping-particle":"","parse-names":false,"suffix":""},{"dropping-particle":"","family":"Jupri","given":"Al","non-dropping-particle":"","parse-names":false,"suffix":""}],"container-title":"Jurnal Pengajaran Matematika dan Ilmu Pengetahuan Alam","id":"ITEM-1","issue":"2","issued":{"date-parts":[["2013"]]},"page":"135","title":"Developing Mathematical Communication and Representation of Students Grade Vii: a Design Research","type":"article-journal","volume":"18"},"uris":["http://www.mendeley.com/documents/?uuid=b128dc86-30ce-4d9d-a50d-7b9d473b1585"]}],"mendeley":{"formattedCitation":"[18]","plainTextFormattedCitation":"[18]","previouslyFormattedCitation":"[18]"},"properties":{"noteIndex":0},"schema":"https://github.com/citation-style-language/schema/raw/master/csl-citation.json"}</w:instrText>
      </w:r>
      <w:r w:rsidR="00334846">
        <w:rPr>
          <w:lang w:val="en-GB"/>
        </w:rPr>
        <w:fldChar w:fldCharType="separate"/>
      </w:r>
      <w:r w:rsidR="00334846" w:rsidRPr="00334846">
        <w:rPr>
          <w:noProof/>
          <w:lang w:val="en-GB"/>
        </w:rPr>
        <w:t>[18]</w:t>
      </w:r>
      <w:r w:rsidR="00334846">
        <w:rPr>
          <w:lang w:val="en-GB"/>
        </w:rPr>
        <w:fldChar w:fldCharType="end"/>
      </w:r>
      <w:r w:rsidRPr="006D6601">
        <w:rPr>
          <w:lang w:val="en-GB"/>
        </w:rPr>
        <w:t>.</w:t>
      </w:r>
    </w:p>
    <w:p w14:paraId="18FB4C55" w14:textId="5D4A1EF8" w:rsidR="006D6601" w:rsidRDefault="006D6601" w:rsidP="006D6601">
      <w:pPr>
        <w:pStyle w:val="BodyText"/>
        <w:spacing w:before="93"/>
        <w:ind w:left="709" w:right="1109" w:firstLine="284"/>
        <w:rPr>
          <w:lang w:val="en-GB"/>
        </w:rPr>
      </w:pPr>
      <w:r w:rsidRPr="006D6601">
        <w:rPr>
          <w:lang w:val="en-GB"/>
        </w:rPr>
        <w:t xml:space="preserve">Based on objectives of the </w:t>
      </w:r>
      <w:r w:rsidR="00351C08">
        <w:rPr>
          <w:lang w:val="en-GB"/>
        </w:rPr>
        <w:t>CoP</w:t>
      </w:r>
      <w:r w:rsidRPr="006D6601">
        <w:rPr>
          <w:lang w:val="en-GB"/>
        </w:rPr>
        <w:t xml:space="preserve"> above, it is hoped that various obstacles in improving the quality of education can be resolved, and improving the primary school teachers’ performance. However, in reality, the </w:t>
      </w:r>
      <w:r w:rsidR="00351C08">
        <w:rPr>
          <w:lang w:val="en-GB"/>
        </w:rPr>
        <w:t>CoP</w:t>
      </w:r>
      <w:r w:rsidRPr="006D6601">
        <w:rPr>
          <w:lang w:val="en-GB"/>
        </w:rPr>
        <w:t xml:space="preserve"> has not been able to solve the problems. In 2019, the results of a survey conducted by </w:t>
      </w:r>
      <w:r w:rsidR="00351C08">
        <w:rPr>
          <w:lang w:val="en-GB"/>
        </w:rPr>
        <w:t>innovation</w:t>
      </w:r>
      <w:r w:rsidRPr="006D6601">
        <w:rPr>
          <w:lang w:val="en-GB"/>
        </w:rPr>
        <w:t xml:space="preserve"> in the schools found that teachers did not see the </w:t>
      </w:r>
      <w:r w:rsidR="00351C08">
        <w:rPr>
          <w:lang w:val="en-GB"/>
        </w:rPr>
        <w:t>CoP</w:t>
      </w:r>
      <w:r w:rsidRPr="006D6601">
        <w:rPr>
          <w:lang w:val="en-GB"/>
        </w:rPr>
        <w:t xml:space="preserve"> as a professional development forum. In general, teachers were less motivated to attend </w:t>
      </w:r>
      <w:r w:rsidR="00351C08">
        <w:rPr>
          <w:lang w:val="en-GB"/>
        </w:rPr>
        <w:t>CoP</w:t>
      </w:r>
      <w:r w:rsidRPr="006D6601">
        <w:rPr>
          <w:lang w:val="en-GB"/>
        </w:rPr>
        <w:t xml:space="preserve"> meetings to construct instrument test and do some tasks, such as completing educational administration requirements. There are few resource persons available to facilitate teacher professional development, and the </w:t>
      </w:r>
      <w:r w:rsidR="00351C08">
        <w:rPr>
          <w:lang w:val="en-GB"/>
        </w:rPr>
        <w:t>CoP</w:t>
      </w:r>
      <w:r w:rsidRPr="006D6601">
        <w:rPr>
          <w:lang w:val="en-GB"/>
        </w:rPr>
        <w:t xml:space="preserve"> forum is rarely utilized as a forum for in-service training or ongoing professional development. In addition, the Ministry of National Education also found several main problems faced by the </w:t>
      </w:r>
      <w:r w:rsidR="00351C08">
        <w:rPr>
          <w:lang w:val="en-GB"/>
        </w:rPr>
        <w:t>CoP</w:t>
      </w:r>
      <w:r w:rsidRPr="006D6601">
        <w:rPr>
          <w:lang w:val="en-GB"/>
        </w:rPr>
        <w:t xml:space="preserve">, such as: 1) </w:t>
      </w:r>
      <w:r w:rsidR="00351C08">
        <w:rPr>
          <w:lang w:val="en-GB"/>
        </w:rPr>
        <w:t>CoP</w:t>
      </w:r>
      <w:r w:rsidRPr="006D6601">
        <w:rPr>
          <w:lang w:val="en-GB"/>
        </w:rPr>
        <w:t xml:space="preserve"> management was not functioning optimally; 2) </w:t>
      </w:r>
      <w:r w:rsidR="00351C08">
        <w:rPr>
          <w:lang w:val="en-GB"/>
        </w:rPr>
        <w:t>CoP</w:t>
      </w:r>
      <w:r w:rsidRPr="006D6601">
        <w:rPr>
          <w:lang w:val="en-GB"/>
        </w:rPr>
        <w:t xml:space="preserve"> programs are less significant and less appropriate for teacher needs; 3) </w:t>
      </w:r>
      <w:r w:rsidR="00351C08">
        <w:rPr>
          <w:lang w:val="en-GB"/>
        </w:rPr>
        <w:t>CoP</w:t>
      </w:r>
      <w:r w:rsidRPr="006D6601">
        <w:rPr>
          <w:lang w:val="en-GB"/>
        </w:rPr>
        <w:t xml:space="preserve"> operational support funds are not proportional; 4) The local government, through the related Education Office, does not care much about the various initiatives that the </w:t>
      </w:r>
      <w:r w:rsidR="00351C08">
        <w:rPr>
          <w:lang w:val="en-GB"/>
        </w:rPr>
        <w:t>CoP</w:t>
      </w:r>
      <w:r w:rsidRPr="006D6601">
        <w:rPr>
          <w:lang w:val="en-GB"/>
        </w:rPr>
        <w:t xml:space="preserve"> carries out; 5) Professional associations are less supportive of the </w:t>
      </w:r>
      <w:r w:rsidR="00351C08">
        <w:rPr>
          <w:lang w:val="en-GB"/>
        </w:rPr>
        <w:t>CoP</w:t>
      </w:r>
      <w:r w:rsidRPr="006D6601">
        <w:rPr>
          <w:lang w:val="en-GB"/>
        </w:rPr>
        <w:t xml:space="preserve"> activities, and 6) </w:t>
      </w:r>
      <w:r w:rsidR="00351C08">
        <w:rPr>
          <w:lang w:val="en-GB"/>
        </w:rPr>
        <w:t>CoP</w:t>
      </w:r>
      <w:r w:rsidRPr="006D6601">
        <w:rPr>
          <w:lang w:val="en-GB"/>
        </w:rPr>
        <w:t xml:space="preserve"> are less empowered in improving the quality of learning which has a positive impact on improving the quality of national education.</w:t>
      </w:r>
    </w:p>
    <w:p w14:paraId="7BAC120C" w14:textId="04FD235A" w:rsidR="006D6601" w:rsidRDefault="006D6601" w:rsidP="006D6601">
      <w:pPr>
        <w:pStyle w:val="BodyText"/>
        <w:spacing w:before="93"/>
        <w:ind w:left="709" w:right="1109" w:firstLine="284"/>
        <w:rPr>
          <w:lang w:val="en-GB"/>
        </w:rPr>
      </w:pPr>
      <w:r w:rsidRPr="006D6601">
        <w:rPr>
          <w:lang w:val="en-GB"/>
        </w:rPr>
        <w:t xml:space="preserve">The existence of the </w:t>
      </w:r>
      <w:r w:rsidR="00351C08">
        <w:rPr>
          <w:lang w:val="en-GB"/>
        </w:rPr>
        <w:t>CoP</w:t>
      </w:r>
      <w:r w:rsidRPr="006D6601">
        <w:rPr>
          <w:lang w:val="en-GB"/>
        </w:rPr>
        <w:t xml:space="preserve"> is needs to be clearly described. Do almost all of </w:t>
      </w:r>
      <w:r w:rsidR="00351C08">
        <w:rPr>
          <w:lang w:val="en-GB"/>
        </w:rPr>
        <w:t>CoP</w:t>
      </w:r>
      <w:r w:rsidRPr="006D6601">
        <w:rPr>
          <w:lang w:val="en-GB"/>
        </w:rPr>
        <w:t xml:space="preserve"> have the same problems, or are there already </w:t>
      </w:r>
      <w:r w:rsidR="00351C08">
        <w:rPr>
          <w:lang w:val="en-GB"/>
        </w:rPr>
        <w:t>CoP</w:t>
      </w:r>
      <w:r w:rsidRPr="006D6601">
        <w:rPr>
          <w:lang w:val="en-GB"/>
        </w:rPr>
        <w:t xml:space="preserve"> that can be used as best practice in improving the quality of education in Indonesia. Therefore, we need a study on the role of the </w:t>
      </w:r>
      <w:r w:rsidR="00351C08">
        <w:rPr>
          <w:lang w:val="en-GB"/>
        </w:rPr>
        <w:t>CoP</w:t>
      </w:r>
      <w:r w:rsidRPr="006D6601">
        <w:rPr>
          <w:lang w:val="en-GB"/>
        </w:rPr>
        <w:t xml:space="preserve"> in improving the performance of primary school teachers in Riau Province.</w:t>
      </w:r>
    </w:p>
    <w:p w14:paraId="133D46E8" w14:textId="77777777" w:rsidR="009A06C2" w:rsidRDefault="009A06C2">
      <w:pPr>
        <w:pStyle w:val="BodyText"/>
        <w:jc w:val="left"/>
        <w:rPr>
          <w:sz w:val="12"/>
        </w:rPr>
      </w:pPr>
    </w:p>
    <w:p w14:paraId="30D5DF2A" w14:textId="77777777" w:rsidR="009A06C2" w:rsidRDefault="00112262" w:rsidP="001143CD">
      <w:pPr>
        <w:pStyle w:val="Heading1"/>
        <w:ind w:right="1676"/>
      </w:pPr>
      <w:bookmarkStart w:id="3" w:name="MATERIAL_AND_METHODS"/>
      <w:bookmarkEnd w:id="3"/>
      <w:r>
        <w:t>MATERIAL AND METHODS</w:t>
      </w:r>
    </w:p>
    <w:p w14:paraId="17DF2088" w14:textId="77777777" w:rsidR="009A06C2" w:rsidRDefault="00112262" w:rsidP="001143CD">
      <w:pPr>
        <w:pStyle w:val="Heading2"/>
        <w:tabs>
          <w:tab w:val="left" w:pos="9214"/>
        </w:tabs>
        <w:spacing w:before="241"/>
        <w:ind w:right="1676"/>
      </w:pPr>
      <w:bookmarkStart w:id="4" w:name="Methods"/>
      <w:bookmarkEnd w:id="4"/>
      <w:r>
        <w:t>Methods</w:t>
      </w:r>
    </w:p>
    <w:p w14:paraId="65EFC5D0" w14:textId="51AB2D74" w:rsidR="006D6601" w:rsidRDefault="006D6601" w:rsidP="001A31F2">
      <w:pPr>
        <w:pStyle w:val="BodyText"/>
        <w:spacing w:before="120"/>
        <w:ind w:left="709" w:right="1109" w:firstLine="283"/>
        <w:rPr>
          <w:lang w:val="en-GB"/>
        </w:rPr>
      </w:pPr>
      <w:r w:rsidRPr="006D6601">
        <w:rPr>
          <w:lang w:val="en-GB"/>
        </w:rPr>
        <w:t xml:space="preserve">This research is a quantitative descriptive study, that describes the role of </w:t>
      </w:r>
      <w:r w:rsidR="00351C08">
        <w:rPr>
          <w:lang w:val="en-GB"/>
        </w:rPr>
        <w:t>CoP</w:t>
      </w:r>
      <w:r w:rsidRPr="006D6601">
        <w:rPr>
          <w:lang w:val="en-GB"/>
        </w:rPr>
        <w:t xml:space="preserve"> activities in improving primary school teacher performance in Riau through quantitative data. The research was carried out in May</w:t>
      </w:r>
      <w:r w:rsidR="00351C08">
        <w:rPr>
          <w:lang w:val="en-GB"/>
        </w:rPr>
        <w:t>-</w:t>
      </w:r>
      <w:r w:rsidRPr="006D6601">
        <w:rPr>
          <w:lang w:val="en-GB"/>
        </w:rPr>
        <w:t xml:space="preserve">August 2020. The participant </w:t>
      </w:r>
      <w:r w:rsidR="00351C08" w:rsidRPr="006D6601">
        <w:rPr>
          <w:lang w:val="en-GB"/>
        </w:rPr>
        <w:t>was</w:t>
      </w:r>
      <w:r w:rsidRPr="006D6601">
        <w:rPr>
          <w:lang w:val="en-GB"/>
        </w:rPr>
        <w:t xml:space="preserve"> 60 elementary </w:t>
      </w:r>
      <w:r w:rsidR="00351C08" w:rsidRPr="006D6601">
        <w:rPr>
          <w:lang w:val="en-GB"/>
        </w:rPr>
        <w:t>schools’</w:t>
      </w:r>
      <w:r w:rsidRPr="006D6601">
        <w:rPr>
          <w:lang w:val="en-GB"/>
        </w:rPr>
        <w:t xml:space="preserve"> teachers in Riau Province. Data collection techniques using a questionnaire. A questionnaire is a set of written statements or questions that are given</w:t>
      </w:r>
      <w:r w:rsidR="00A15F9B">
        <w:rPr>
          <w:lang w:val="en-GB"/>
        </w:rPr>
        <w:t xml:space="preserve"> to respondents to be answered </w:t>
      </w:r>
      <w:r w:rsidR="008F29EE">
        <w:rPr>
          <w:lang w:val="en-GB"/>
        </w:rPr>
        <w:fldChar w:fldCharType="begin" w:fldLock="1"/>
      </w:r>
      <w:r w:rsidR="00CF52C2">
        <w:rPr>
          <w:lang w:val="en-GB"/>
        </w:rPr>
        <w:instrText>ADDIN CSL_CITATION {"citationItems":[{"id":"ITEM-1","itemData":{"author":[{"dropping-particle":"","family":"Fani","given":"Refatana Asri","non-dropping-particle":"","parse-names":false,"suffix":""},{"dropping-particle":"","family":"Sukoco","given":"Pamuji","non-dropping-particle":"","parse-names":false,"suffix":""}],"container-title":"Psychology, Evaluation, and Technology in Educational Research","id":"ITEM-1","issue":"1","issued":{"date-parts":[["2019"]]},"page":"34-50","title":"Volleyball learning media using method of teaching games for understanding adobe flash-based","type":"article-journal","volume":"2"},"uris":["http://www.mendeley.com/documents/?uuid=0cd65d50-1b8d-4085-8c4c-a84556efd31a"]},{"id":"ITEM-2","itemData":{"ISSN":"22778616","abstract":"This study aims to analyze the effect of students 'mathematical resilience after applying blended learning rotation learning models of cognitive conflict strategies, as well as to see the interaction between learning and initial mathematical ability (KAM) on increasing students' mathematical resilience. This research is a quasi-experimental study. Data obtained through the initial mathematics proficiency test (KAM) and students' mathematical resilience questionnaire. Data were analyzed by a two-way ANOVA test. Before using the two-way ANOVA test homogeneity tests were used in the study and normality in this study was 5% significant. Based on the results of the analysis (ANOVA), the results of a mathematical resilience study of students taught by the blended learning rotation cognitive conflict strategy model are better than those taught through conventional learning. The significant value obtained from ANOVA 0,000 &lt;significant level value of 5%. This shows that there are significant differences in mathematical resilience in both learning, and information is obtained that the significance value of the learning model and the initial mathematical ability (KAM) 0.031 &lt;0.05 can be concluded that there is an interaction between the learning model and the initial mathematical ability (KAM) in influencing resilience mathematically students.","author":[{"dropping-particle":"","family":"Fitri","given":"Syamsah","non-dropping-particle":"","parse-names":false,"suffix":""},{"dropping-particle":"","family":"Syahputra","given":"Edi","non-dropping-particle":"","parse-names":false,"suffix":""},{"dropping-particle":"","family":"Syahputra","given":"Hermawan","non-dropping-particle":"","parse-names":false,"suffix":""}],"container-title":"International Journal of Scientific and Technology Research","id":"ITEM-2","issue":"12","issued":{"date-parts":[["2019"]]},"page":"80-87","title":"Blended learning rotation model of cognitive conflict strategy to improve mathematical resilience in high school students","type":"article-journal","volume":"8"},"uris":["http://www.mendeley.com/documents/?uuid=6044f494-b75e-4912-818e-441ae0255f3a"]}],"mendeley":{"formattedCitation":"[19], [20]","plainTextFormattedCitation":"[19], [20]","previouslyFormattedCitation":"[19], [20]"},"properties":{"noteIndex":0},"schema":"https://github.com/citation-style-language/schema/raw/master/csl-citation.json"}</w:instrText>
      </w:r>
      <w:r w:rsidR="008F29EE">
        <w:rPr>
          <w:lang w:val="en-GB"/>
        </w:rPr>
        <w:fldChar w:fldCharType="separate"/>
      </w:r>
      <w:r w:rsidR="00334846" w:rsidRPr="00334846">
        <w:rPr>
          <w:noProof/>
          <w:lang w:val="en-GB"/>
        </w:rPr>
        <w:t>[19], [20]</w:t>
      </w:r>
      <w:r w:rsidR="008F29EE">
        <w:rPr>
          <w:lang w:val="en-GB"/>
        </w:rPr>
        <w:fldChar w:fldCharType="end"/>
      </w:r>
      <w:r w:rsidRPr="006D6601">
        <w:rPr>
          <w:lang w:val="en-GB"/>
        </w:rPr>
        <w:t>. This questionnaire is a list of statements made by the researcher and that were be answer by respondent.</w:t>
      </w:r>
    </w:p>
    <w:p w14:paraId="3A84B68C" w14:textId="77777777" w:rsidR="009A06C2" w:rsidRDefault="003A017F" w:rsidP="003A017F">
      <w:pPr>
        <w:pStyle w:val="BodyText"/>
        <w:spacing w:before="120"/>
        <w:ind w:left="709" w:right="1696" w:firstLine="283"/>
      </w:pPr>
      <w:r w:rsidRPr="003A017F">
        <w:rPr>
          <w:lang w:val="en-GB"/>
        </w:rPr>
        <w:tab/>
      </w:r>
    </w:p>
    <w:p w14:paraId="105BE79D" w14:textId="77777777" w:rsidR="009A06C2" w:rsidRDefault="00112262">
      <w:pPr>
        <w:pStyle w:val="Heading2"/>
        <w:spacing w:before="0"/>
        <w:ind w:right="1527"/>
      </w:pPr>
      <w:bookmarkStart w:id="5" w:name="Participants"/>
      <w:bookmarkStart w:id="6" w:name="Instrument"/>
      <w:bookmarkEnd w:id="5"/>
      <w:bookmarkEnd w:id="6"/>
      <w:r>
        <w:t>Instrument</w:t>
      </w:r>
    </w:p>
    <w:p w14:paraId="30D121D7" w14:textId="77777777" w:rsidR="003F4A85" w:rsidRDefault="003F4A85" w:rsidP="001A31F2">
      <w:pPr>
        <w:pStyle w:val="BodyText"/>
        <w:spacing w:before="120"/>
        <w:ind w:left="681" w:right="1109" w:firstLine="283"/>
      </w:pPr>
      <w:r w:rsidRPr="003F4A85">
        <w:t>The research instrument used a questionnaire which was distributed via google form to several elementary schools in Riau Province. The questionnaires to be used are arranged according to a modified Likert scale. This scale is used by researchers to measure the perceptions, attitudes or opinions of a person o</w:t>
      </w:r>
      <w:r w:rsidR="008F29EE">
        <w:t xml:space="preserve">r group about social phenomena </w:t>
      </w:r>
      <w:r w:rsidR="008F29EE">
        <w:fldChar w:fldCharType="begin" w:fldLock="1"/>
      </w:r>
      <w:r w:rsidR="00CF52C2">
        <w:instrText>ADDIN CSL_CITATION {"citationItems":[{"id":"ITEM-1","itemData":{"DOI":"10.31004/cendekia.v2i1.29","ISSN":"2614-3038","abstract":"Penelitian ini bertujuan untuk menelaah dan menganalisis mengenai: (1) Kemampuan komunikasi matematis menghubungkan benda nyata , gambar dan diagram kedalam ide matematika. (2) Kemampuan komunikasi matematis menjelaskan idea, situasi, tulisan dengan benda nyata, gambar, grafik dan aljabar. (3) Kemampuan komunikasi matematis menyatakan peristiwa sehari-hari dalam bahasa atau simbol matematika. (4) Kemampuan komunikasi matematis membuat model dari suatu situasi melalui tulisan, benda-benda konkret, gambar, grafik, dan metode-metode aljabar. (5) Kemampuan komunikasi matematis Menjelaskan dan membuat pertanyaan tentang matematika yang telah dipelajari. Metode dalam penelitian ini menggunakan metodekualitatif. Populasi dalam penelitian ini adalah siswa kelas VIII Cimahi. Hasil penelitian menunjukkan bahwa kemampuan komunikasi matematis menghubungkan benda nyata , gambar dan diagram kedalam ide matematika tergolong rendah. Kemampuan komunikasi matematis menjelaskan idea, situasi, tulisan dengan benda nyata, gambar, grafik dan aljabar tergolong sedang. Kemampuan komunikasi matematis menyatakan peristiwa sehari-hari dalam bahasa atau simbol matematika tergolong rendah. Kemampuan komunikasi matematis membuat model dari suatu situasi melalui tulisan, benda-benda konkret, gambar, grafik, dan metode-metode aljabar tergolong rendah. Kemampuan komunikasi matematis enjelaskan dan membuat pertanyaan tentang matematika yang telah dipelajari tergolong rendah.","author":[{"dropping-particle":"","family":"Aminah","given":"Siti","non-dropping-particle":"","parse-names":false,"suffix":""},{"dropping-particle":"","family":"Wijaya","given":"Tommy Tanu","non-dropping-particle":"","parse-names":false,"suffix":""},{"dropping-particle":"","family":"Yuspriyati","given":"Devi","non-dropping-particle":"","parse-names":false,"suffix":""}],"container-title":"Jurnal Cendekia : Jurnal Pendidikan Matematika","id":"ITEM-1","issue":"1","issued":{"date-parts":[["2018"]]},"page":"15-22","title":"Analisis Kemampuan Komunikasi Matematis Siswa Kelas Viii Pada Materi Himpunan","type":"article-journal","volume":"2"},"uris":["http://www.mendeley.com/documents/?uuid=bcd0ae30-4898-4f03-9d9a-729b8c529ee9"]}],"mendeley":{"formattedCitation":"[21]","plainTextFormattedCitation":"[21]","previouslyFormattedCitation":"[21]"},"properties":{"noteIndex":0},"schema":"https://github.com/citation-style-language/schema/raw/master/csl-citation.json"}</w:instrText>
      </w:r>
      <w:r w:rsidR="008F29EE">
        <w:fldChar w:fldCharType="separate"/>
      </w:r>
      <w:r w:rsidR="00334846" w:rsidRPr="00334846">
        <w:rPr>
          <w:noProof/>
        </w:rPr>
        <w:t>[21]</w:t>
      </w:r>
      <w:r w:rsidR="008F29EE">
        <w:fldChar w:fldCharType="end"/>
      </w:r>
      <w:r w:rsidRPr="003F4A85">
        <w:t>. The use of this scale can assess attitudes or behavior by asking several questions to respondents. Then the respondent is asked to provide a choice of answers or opinions on the measurement scale provided, namely always, ever, sometimes, and never. The instrument is filled individually and does not include the respondent name, which aims to protect the privacy of the respondent's opinion.</w:t>
      </w:r>
    </w:p>
    <w:p w14:paraId="620C0A99" w14:textId="77777777" w:rsidR="009A06C2" w:rsidRDefault="009A06C2" w:rsidP="001A31F2">
      <w:pPr>
        <w:pStyle w:val="BodyText"/>
        <w:spacing w:before="7"/>
        <w:ind w:right="1109"/>
        <w:jc w:val="left"/>
        <w:rPr>
          <w:sz w:val="11"/>
        </w:rPr>
      </w:pPr>
    </w:p>
    <w:p w14:paraId="02FF7317" w14:textId="77777777" w:rsidR="009A06C2" w:rsidRDefault="00112262">
      <w:pPr>
        <w:pStyle w:val="Heading2"/>
        <w:ind w:right="1529"/>
      </w:pPr>
      <w:bookmarkStart w:id="7" w:name="Procedures"/>
      <w:bookmarkEnd w:id="7"/>
      <w:r>
        <w:t>Procedures</w:t>
      </w:r>
    </w:p>
    <w:p w14:paraId="1CEEF53A" w14:textId="77777777" w:rsidR="003F4A85" w:rsidRDefault="003F4A85" w:rsidP="001A31F2">
      <w:pPr>
        <w:pStyle w:val="BodyText"/>
        <w:tabs>
          <w:tab w:val="left" w:pos="9781"/>
        </w:tabs>
        <w:spacing w:before="120"/>
        <w:ind w:left="681" w:right="1109" w:firstLine="283"/>
      </w:pPr>
      <w:r w:rsidRPr="003F4A85">
        <w:lastRenderedPageBreak/>
        <w:t>The data collection technique in this study was filling out a questionnaire by primary school teachers in Riau Province. The research procedure has several stages: (1) investigating the phenomena that occur in primary school teachers; (2) looking for problems from the phenomenon; (3) finding solutions to problems; (4) carry out further investigations or research; (5) conducting a literature review; (6) construct a research instrument, namely a questionnaire to investigate this phenomenon; (7) perform data analysis and discussion; (8) draw conclusions.</w:t>
      </w:r>
    </w:p>
    <w:p w14:paraId="16426A92" w14:textId="77777777" w:rsidR="009A06C2" w:rsidRDefault="009A06C2" w:rsidP="001A31F2">
      <w:pPr>
        <w:pStyle w:val="BodyText"/>
        <w:tabs>
          <w:tab w:val="left" w:pos="9781"/>
        </w:tabs>
        <w:ind w:right="1109"/>
        <w:jc w:val="left"/>
        <w:rPr>
          <w:sz w:val="20"/>
        </w:rPr>
      </w:pPr>
    </w:p>
    <w:p w14:paraId="0CFF2BDF" w14:textId="77777777" w:rsidR="009A06C2" w:rsidRDefault="009A06C2">
      <w:pPr>
        <w:pStyle w:val="BodyText"/>
        <w:spacing w:before="5"/>
        <w:jc w:val="left"/>
        <w:rPr>
          <w:sz w:val="19"/>
        </w:rPr>
      </w:pPr>
    </w:p>
    <w:p w14:paraId="3442D2C5" w14:textId="77777777" w:rsidR="009A06C2" w:rsidRDefault="00112262">
      <w:pPr>
        <w:pStyle w:val="Heading2"/>
        <w:spacing w:before="0"/>
        <w:ind w:right="2664"/>
      </w:pPr>
      <w:bookmarkStart w:id="8" w:name="Data_Analysis"/>
      <w:bookmarkEnd w:id="8"/>
      <w:r>
        <w:t>Data Analysis</w:t>
      </w:r>
    </w:p>
    <w:p w14:paraId="029C915C" w14:textId="77777777" w:rsidR="001143CD" w:rsidRPr="001143CD" w:rsidRDefault="003F4A85" w:rsidP="003F4A85">
      <w:pPr>
        <w:pStyle w:val="BodyText"/>
        <w:tabs>
          <w:tab w:val="left" w:pos="9781"/>
        </w:tabs>
        <w:spacing w:before="12"/>
        <w:ind w:left="709" w:right="1109"/>
        <w:rPr>
          <w:lang w:val="en-GB"/>
        </w:rPr>
      </w:pPr>
      <w:r w:rsidRPr="003F4A85">
        <w:rPr>
          <w:lang w:val="en-GB"/>
        </w:rPr>
        <w:t xml:space="preserve">The data analysis technique used a questionnaire distributed to primary school teachers in Riau </w:t>
      </w:r>
      <w:r>
        <w:rPr>
          <w:lang w:val="en-GB"/>
        </w:rPr>
        <w:t xml:space="preserve">Province. The data collected in </w:t>
      </w:r>
      <w:r w:rsidR="00716F8B">
        <w:rPr>
          <w:b/>
          <w:color w:val="000099"/>
          <w:sz w:val="16"/>
        </w:rPr>
        <w:t>Table 1</w:t>
      </w:r>
      <w:r w:rsidRPr="003F4A85">
        <w:rPr>
          <w:lang w:val="en-GB"/>
        </w:rPr>
        <w:t>:</w:t>
      </w:r>
    </w:p>
    <w:p w14:paraId="4B8115F7" w14:textId="77777777" w:rsidR="001143CD" w:rsidRPr="001143CD" w:rsidRDefault="001143CD" w:rsidP="001143CD">
      <w:pPr>
        <w:pStyle w:val="BodyText"/>
        <w:spacing w:before="12"/>
        <w:jc w:val="center"/>
        <w:rPr>
          <w:lang w:val="en-GB"/>
        </w:rPr>
      </w:pPr>
      <w:r>
        <w:rPr>
          <w:b/>
          <w:color w:val="000099"/>
          <w:sz w:val="16"/>
        </w:rPr>
        <w:t>Table 1.</w:t>
      </w:r>
      <w:r w:rsidRPr="001143CD">
        <w:rPr>
          <w:lang w:val="en-GB"/>
        </w:rPr>
        <w:t xml:space="preserve">  </w:t>
      </w:r>
      <w:r w:rsidR="003F4A85" w:rsidRPr="003F4A85">
        <w:rPr>
          <w:lang w:val="en-GB"/>
        </w:rPr>
        <w:t>Tabulation of Primary School Teacher Performance</w:t>
      </w:r>
    </w:p>
    <w:p w14:paraId="323490A1" w14:textId="77777777" w:rsidR="001143CD" w:rsidRPr="001143CD" w:rsidRDefault="001143CD" w:rsidP="001143CD">
      <w:pPr>
        <w:pStyle w:val="BodyText"/>
        <w:spacing w:before="12"/>
        <w:rPr>
          <w:lang w:val="en-GB"/>
        </w:rPr>
      </w:pPr>
    </w:p>
    <w:tbl>
      <w:tblPr>
        <w:tblStyle w:val="TableGrid"/>
        <w:tblW w:w="75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618"/>
        <w:gridCol w:w="1119"/>
        <w:gridCol w:w="1107"/>
        <w:gridCol w:w="1126"/>
        <w:gridCol w:w="979"/>
      </w:tblGrid>
      <w:tr w:rsidR="003F4A85" w:rsidRPr="00EC3041" w14:paraId="394B5012" w14:textId="77777777" w:rsidTr="003F4A85">
        <w:trPr>
          <w:jc w:val="center"/>
        </w:trPr>
        <w:tc>
          <w:tcPr>
            <w:tcW w:w="567" w:type="dxa"/>
            <w:vMerge w:val="restart"/>
            <w:tcBorders>
              <w:top w:val="single" w:sz="4" w:space="0" w:color="auto"/>
              <w:bottom w:val="nil"/>
            </w:tcBorders>
          </w:tcPr>
          <w:p w14:paraId="259D508C" w14:textId="77777777" w:rsidR="003F4A85" w:rsidRPr="003F4A85" w:rsidRDefault="003F4A85" w:rsidP="00094A58">
            <w:pPr>
              <w:pStyle w:val="BodyText"/>
              <w:spacing w:before="12"/>
              <w:jc w:val="center"/>
              <w:rPr>
                <w:b/>
                <w:lang w:val="id-ID"/>
              </w:rPr>
            </w:pPr>
            <w:r w:rsidRPr="003F4A85">
              <w:rPr>
                <w:b/>
                <w:lang w:val="id-ID"/>
              </w:rPr>
              <w:t>No</w:t>
            </w:r>
          </w:p>
        </w:tc>
        <w:tc>
          <w:tcPr>
            <w:tcW w:w="2693" w:type="dxa"/>
            <w:vMerge w:val="restart"/>
            <w:tcBorders>
              <w:top w:val="single" w:sz="4" w:space="0" w:color="auto"/>
              <w:bottom w:val="nil"/>
            </w:tcBorders>
          </w:tcPr>
          <w:p w14:paraId="1F27DF75" w14:textId="77777777" w:rsidR="003F4A85" w:rsidRPr="003F4A85" w:rsidRDefault="003F4A85" w:rsidP="00094A58">
            <w:pPr>
              <w:pStyle w:val="BodyText"/>
              <w:spacing w:before="12"/>
              <w:jc w:val="center"/>
              <w:rPr>
                <w:b/>
              </w:rPr>
            </w:pPr>
            <w:r w:rsidRPr="003F4A85">
              <w:rPr>
                <w:b/>
              </w:rPr>
              <w:t xml:space="preserve">Question </w:t>
            </w:r>
          </w:p>
        </w:tc>
        <w:tc>
          <w:tcPr>
            <w:tcW w:w="4252" w:type="dxa"/>
            <w:gridSpan w:val="4"/>
            <w:tcBorders>
              <w:top w:val="single" w:sz="4" w:space="0" w:color="auto"/>
              <w:bottom w:val="nil"/>
            </w:tcBorders>
          </w:tcPr>
          <w:p w14:paraId="57B441C0" w14:textId="77777777" w:rsidR="003F4A85" w:rsidRPr="003F4A85" w:rsidRDefault="003F4A85" w:rsidP="00094A58">
            <w:pPr>
              <w:pStyle w:val="BodyText"/>
              <w:spacing w:before="12"/>
              <w:jc w:val="center"/>
              <w:rPr>
                <w:b/>
                <w:lang w:val="id-ID"/>
              </w:rPr>
            </w:pPr>
            <w:r w:rsidRPr="003F4A85">
              <w:rPr>
                <w:b/>
                <w:lang w:val="id-ID"/>
              </w:rPr>
              <w:t>Optional</w:t>
            </w:r>
          </w:p>
        </w:tc>
      </w:tr>
      <w:tr w:rsidR="003F4A85" w:rsidRPr="00EC3041" w14:paraId="7B401E8A" w14:textId="77777777" w:rsidTr="003F4A85">
        <w:trPr>
          <w:jc w:val="center"/>
        </w:trPr>
        <w:tc>
          <w:tcPr>
            <w:tcW w:w="567" w:type="dxa"/>
            <w:vMerge/>
            <w:tcBorders>
              <w:top w:val="nil"/>
              <w:bottom w:val="single" w:sz="4" w:space="0" w:color="auto"/>
            </w:tcBorders>
          </w:tcPr>
          <w:p w14:paraId="194B9CE8" w14:textId="77777777" w:rsidR="003F4A85" w:rsidRPr="003F4A85" w:rsidRDefault="003F4A85" w:rsidP="00094A58">
            <w:pPr>
              <w:pStyle w:val="BodyText"/>
              <w:spacing w:before="12"/>
              <w:jc w:val="center"/>
              <w:rPr>
                <w:b/>
                <w:lang w:val="id-ID"/>
              </w:rPr>
            </w:pPr>
          </w:p>
        </w:tc>
        <w:tc>
          <w:tcPr>
            <w:tcW w:w="2693" w:type="dxa"/>
            <w:vMerge/>
            <w:tcBorders>
              <w:top w:val="nil"/>
              <w:bottom w:val="single" w:sz="4" w:space="0" w:color="auto"/>
            </w:tcBorders>
          </w:tcPr>
          <w:p w14:paraId="04CF2602" w14:textId="77777777" w:rsidR="003F4A85" w:rsidRPr="003F4A85" w:rsidRDefault="003F4A85" w:rsidP="00094A58">
            <w:pPr>
              <w:pStyle w:val="BodyText"/>
              <w:spacing w:before="12"/>
              <w:jc w:val="center"/>
              <w:rPr>
                <w:b/>
                <w:lang w:val="id-ID"/>
              </w:rPr>
            </w:pPr>
          </w:p>
        </w:tc>
        <w:tc>
          <w:tcPr>
            <w:tcW w:w="1134" w:type="dxa"/>
            <w:tcBorders>
              <w:top w:val="nil"/>
              <w:bottom w:val="single" w:sz="4" w:space="0" w:color="auto"/>
            </w:tcBorders>
          </w:tcPr>
          <w:p w14:paraId="19F1D745" w14:textId="77777777" w:rsidR="003F4A85" w:rsidRPr="003F4A85" w:rsidRDefault="003F4A85" w:rsidP="00094A58">
            <w:pPr>
              <w:pStyle w:val="BodyText"/>
              <w:spacing w:before="12"/>
              <w:jc w:val="center"/>
              <w:rPr>
                <w:b/>
              </w:rPr>
            </w:pPr>
            <w:r w:rsidRPr="003F4A85">
              <w:rPr>
                <w:b/>
              </w:rPr>
              <w:t xml:space="preserve">Always </w:t>
            </w:r>
          </w:p>
        </w:tc>
        <w:tc>
          <w:tcPr>
            <w:tcW w:w="1134" w:type="dxa"/>
            <w:tcBorders>
              <w:top w:val="nil"/>
              <w:bottom w:val="single" w:sz="4" w:space="0" w:color="auto"/>
            </w:tcBorders>
          </w:tcPr>
          <w:p w14:paraId="6DDC42E9" w14:textId="77777777" w:rsidR="003F4A85" w:rsidRPr="003F4A85" w:rsidRDefault="003F4A85" w:rsidP="00094A58">
            <w:pPr>
              <w:pStyle w:val="BodyText"/>
              <w:spacing w:before="12"/>
              <w:jc w:val="center"/>
              <w:rPr>
                <w:b/>
              </w:rPr>
            </w:pPr>
            <w:r w:rsidRPr="003F4A85">
              <w:rPr>
                <w:b/>
              </w:rPr>
              <w:t xml:space="preserve">Ever </w:t>
            </w:r>
          </w:p>
        </w:tc>
        <w:tc>
          <w:tcPr>
            <w:tcW w:w="992" w:type="dxa"/>
            <w:tcBorders>
              <w:top w:val="nil"/>
              <w:bottom w:val="single" w:sz="4" w:space="0" w:color="auto"/>
            </w:tcBorders>
          </w:tcPr>
          <w:p w14:paraId="35FFE479" w14:textId="77777777" w:rsidR="003F4A85" w:rsidRPr="003F4A85" w:rsidRDefault="003F4A85" w:rsidP="00094A58">
            <w:pPr>
              <w:pStyle w:val="BodyText"/>
              <w:spacing w:before="12"/>
              <w:jc w:val="center"/>
              <w:rPr>
                <w:b/>
              </w:rPr>
            </w:pPr>
            <w:r w:rsidRPr="003F4A85">
              <w:rPr>
                <w:b/>
              </w:rPr>
              <w:t xml:space="preserve">Sometimes </w:t>
            </w:r>
          </w:p>
        </w:tc>
        <w:tc>
          <w:tcPr>
            <w:tcW w:w="992" w:type="dxa"/>
            <w:tcBorders>
              <w:top w:val="nil"/>
              <w:bottom w:val="single" w:sz="4" w:space="0" w:color="auto"/>
            </w:tcBorders>
          </w:tcPr>
          <w:p w14:paraId="34ECCB4D" w14:textId="77777777" w:rsidR="003F4A85" w:rsidRPr="003F4A85" w:rsidRDefault="003F4A85" w:rsidP="00094A58">
            <w:pPr>
              <w:pStyle w:val="BodyText"/>
              <w:spacing w:before="12"/>
              <w:jc w:val="center"/>
              <w:rPr>
                <w:b/>
              </w:rPr>
            </w:pPr>
            <w:r w:rsidRPr="003F4A85">
              <w:rPr>
                <w:b/>
              </w:rPr>
              <w:t xml:space="preserve">Never </w:t>
            </w:r>
          </w:p>
        </w:tc>
      </w:tr>
      <w:tr w:rsidR="003F4A85" w:rsidRPr="00EC3041" w14:paraId="0AD9FAD6" w14:textId="77777777" w:rsidTr="003F4A85">
        <w:trPr>
          <w:jc w:val="center"/>
        </w:trPr>
        <w:tc>
          <w:tcPr>
            <w:tcW w:w="567" w:type="dxa"/>
            <w:tcBorders>
              <w:top w:val="single" w:sz="4" w:space="0" w:color="auto"/>
            </w:tcBorders>
          </w:tcPr>
          <w:p w14:paraId="65E07E9B" w14:textId="77777777" w:rsidR="003F4A85" w:rsidRPr="00EC3041" w:rsidRDefault="003F4A85" w:rsidP="00094A58">
            <w:pPr>
              <w:pStyle w:val="BodyText"/>
              <w:spacing w:before="12"/>
              <w:jc w:val="center"/>
              <w:rPr>
                <w:lang w:val="id-ID"/>
              </w:rPr>
            </w:pPr>
            <w:r w:rsidRPr="00EC3041">
              <w:rPr>
                <w:lang w:val="id-ID"/>
              </w:rPr>
              <w:t>1</w:t>
            </w:r>
          </w:p>
        </w:tc>
        <w:tc>
          <w:tcPr>
            <w:tcW w:w="2693" w:type="dxa"/>
            <w:tcBorders>
              <w:top w:val="single" w:sz="4" w:space="0" w:color="auto"/>
            </w:tcBorders>
          </w:tcPr>
          <w:p w14:paraId="7065DE7E" w14:textId="4149CB07" w:rsidR="003F4A85" w:rsidRPr="00EC3041" w:rsidRDefault="003F4A85" w:rsidP="00094A58">
            <w:pPr>
              <w:pStyle w:val="BodyText"/>
              <w:spacing w:before="12"/>
              <w:jc w:val="left"/>
              <w:rPr>
                <w:lang w:val="id-ID"/>
              </w:rPr>
            </w:pPr>
            <w:r w:rsidRPr="00EC3041">
              <w:rPr>
                <w:rFonts w:cs="Arial"/>
                <w:spacing w:val="1"/>
                <w:shd w:val="clear" w:color="auto" w:fill="FFFFFF"/>
              </w:rPr>
              <w:t xml:space="preserve">A learning unit is created for every meeting discussed at the local </w:t>
            </w:r>
            <w:r w:rsidR="00351C08">
              <w:t>CoP</w:t>
            </w:r>
            <w:r w:rsidRPr="00EC3041">
              <w:rPr>
                <w:rFonts w:cs="Arial"/>
                <w:spacing w:val="1"/>
                <w:shd w:val="clear" w:color="auto" w:fill="FFFFFF"/>
              </w:rPr>
              <w:t xml:space="preserve"> forum</w:t>
            </w:r>
          </w:p>
        </w:tc>
        <w:tc>
          <w:tcPr>
            <w:tcW w:w="1134" w:type="dxa"/>
            <w:tcBorders>
              <w:top w:val="single" w:sz="4" w:space="0" w:color="auto"/>
            </w:tcBorders>
          </w:tcPr>
          <w:p w14:paraId="0F156DFB" w14:textId="77777777" w:rsidR="003F4A85" w:rsidRPr="00EC3041" w:rsidRDefault="003F4A85" w:rsidP="00094A58">
            <w:pPr>
              <w:pStyle w:val="BodyText"/>
              <w:spacing w:before="12"/>
              <w:jc w:val="center"/>
              <w:rPr>
                <w:lang w:val="id-ID"/>
              </w:rPr>
            </w:pPr>
            <w:r w:rsidRPr="00EC3041">
              <w:rPr>
                <w:lang w:val="id-ID"/>
              </w:rPr>
              <w:t>37%</w:t>
            </w:r>
          </w:p>
        </w:tc>
        <w:tc>
          <w:tcPr>
            <w:tcW w:w="1134" w:type="dxa"/>
            <w:tcBorders>
              <w:top w:val="single" w:sz="4" w:space="0" w:color="auto"/>
            </w:tcBorders>
          </w:tcPr>
          <w:p w14:paraId="4428E05E" w14:textId="77777777" w:rsidR="003F4A85" w:rsidRPr="00EC3041" w:rsidRDefault="003F4A85" w:rsidP="00094A58">
            <w:pPr>
              <w:pStyle w:val="BodyText"/>
              <w:spacing w:before="12"/>
              <w:jc w:val="center"/>
              <w:rPr>
                <w:lang w:val="id-ID"/>
              </w:rPr>
            </w:pPr>
            <w:r w:rsidRPr="00EC3041">
              <w:rPr>
                <w:lang w:val="id-ID"/>
              </w:rPr>
              <w:t>29%</w:t>
            </w:r>
          </w:p>
        </w:tc>
        <w:tc>
          <w:tcPr>
            <w:tcW w:w="992" w:type="dxa"/>
            <w:tcBorders>
              <w:top w:val="single" w:sz="4" w:space="0" w:color="auto"/>
            </w:tcBorders>
          </w:tcPr>
          <w:p w14:paraId="6F345A1A" w14:textId="77777777" w:rsidR="003F4A85" w:rsidRPr="00EC3041" w:rsidRDefault="003F4A85" w:rsidP="00094A58">
            <w:pPr>
              <w:pStyle w:val="BodyText"/>
              <w:spacing w:before="12"/>
              <w:jc w:val="center"/>
              <w:rPr>
                <w:lang w:val="id-ID"/>
              </w:rPr>
            </w:pPr>
            <w:r w:rsidRPr="00EC3041">
              <w:rPr>
                <w:lang w:val="id-ID"/>
              </w:rPr>
              <w:t>27%</w:t>
            </w:r>
          </w:p>
        </w:tc>
        <w:tc>
          <w:tcPr>
            <w:tcW w:w="992" w:type="dxa"/>
            <w:tcBorders>
              <w:top w:val="single" w:sz="4" w:space="0" w:color="auto"/>
            </w:tcBorders>
          </w:tcPr>
          <w:p w14:paraId="46717D1F" w14:textId="77777777" w:rsidR="003F4A85" w:rsidRPr="00EC3041" w:rsidRDefault="003F4A85" w:rsidP="00094A58">
            <w:pPr>
              <w:pStyle w:val="BodyText"/>
              <w:spacing w:before="12" w:line="360" w:lineRule="auto"/>
              <w:jc w:val="center"/>
              <w:rPr>
                <w:lang w:val="id-ID"/>
              </w:rPr>
            </w:pPr>
            <w:r w:rsidRPr="00EC3041">
              <w:rPr>
                <w:lang w:val="id-ID"/>
              </w:rPr>
              <w:t>7%</w:t>
            </w:r>
          </w:p>
        </w:tc>
      </w:tr>
      <w:tr w:rsidR="003F4A85" w:rsidRPr="00EC3041" w14:paraId="00BF1C65" w14:textId="77777777" w:rsidTr="003F4A85">
        <w:trPr>
          <w:jc w:val="center"/>
        </w:trPr>
        <w:tc>
          <w:tcPr>
            <w:tcW w:w="567" w:type="dxa"/>
          </w:tcPr>
          <w:p w14:paraId="67789EC9" w14:textId="77777777" w:rsidR="003F4A85" w:rsidRPr="00EC3041" w:rsidRDefault="003F4A85" w:rsidP="00094A58">
            <w:pPr>
              <w:pStyle w:val="BodyText"/>
              <w:spacing w:before="12"/>
              <w:jc w:val="center"/>
              <w:rPr>
                <w:lang w:val="id-ID"/>
              </w:rPr>
            </w:pPr>
            <w:r w:rsidRPr="00EC3041">
              <w:rPr>
                <w:lang w:val="id-ID"/>
              </w:rPr>
              <w:t>2</w:t>
            </w:r>
          </w:p>
        </w:tc>
        <w:tc>
          <w:tcPr>
            <w:tcW w:w="2693" w:type="dxa"/>
          </w:tcPr>
          <w:p w14:paraId="197063F5" w14:textId="77777777" w:rsidR="003F4A85" w:rsidRPr="00EC3041" w:rsidRDefault="003F4A85" w:rsidP="00094A58">
            <w:pPr>
              <w:pStyle w:val="BodyText"/>
              <w:spacing w:before="12"/>
              <w:jc w:val="left"/>
              <w:rPr>
                <w:lang w:val="id-ID"/>
              </w:rPr>
            </w:pPr>
            <w:r w:rsidRPr="00EC3041">
              <w:t>Lesson plan</w:t>
            </w:r>
            <w:r w:rsidRPr="00EC3041">
              <w:rPr>
                <w:lang w:val="id-ID"/>
              </w:rPr>
              <w:t xml:space="preserve"> are prepared using active learning based on an analysis of students' abilities</w:t>
            </w:r>
          </w:p>
        </w:tc>
        <w:tc>
          <w:tcPr>
            <w:tcW w:w="1134" w:type="dxa"/>
          </w:tcPr>
          <w:p w14:paraId="07B766CE" w14:textId="77777777" w:rsidR="003F4A85" w:rsidRPr="00EC3041" w:rsidRDefault="003F4A85" w:rsidP="00094A58">
            <w:pPr>
              <w:pStyle w:val="BodyText"/>
              <w:spacing w:before="12"/>
              <w:jc w:val="center"/>
              <w:rPr>
                <w:lang w:val="id-ID"/>
              </w:rPr>
            </w:pPr>
            <w:r w:rsidRPr="00EC3041">
              <w:rPr>
                <w:lang w:val="id-ID"/>
              </w:rPr>
              <w:t>64%</w:t>
            </w:r>
          </w:p>
        </w:tc>
        <w:tc>
          <w:tcPr>
            <w:tcW w:w="1134" w:type="dxa"/>
          </w:tcPr>
          <w:p w14:paraId="21EF942D" w14:textId="77777777" w:rsidR="003F4A85" w:rsidRPr="00EC3041" w:rsidRDefault="003F4A85" w:rsidP="00094A58">
            <w:pPr>
              <w:pStyle w:val="BodyText"/>
              <w:spacing w:before="12"/>
              <w:jc w:val="center"/>
              <w:rPr>
                <w:lang w:val="id-ID"/>
              </w:rPr>
            </w:pPr>
            <w:r w:rsidRPr="00EC3041">
              <w:rPr>
                <w:lang w:val="id-ID"/>
              </w:rPr>
              <w:t>29%</w:t>
            </w:r>
          </w:p>
        </w:tc>
        <w:tc>
          <w:tcPr>
            <w:tcW w:w="992" w:type="dxa"/>
          </w:tcPr>
          <w:p w14:paraId="7F1443AE" w14:textId="77777777" w:rsidR="003F4A85" w:rsidRPr="00EC3041" w:rsidRDefault="003F4A85" w:rsidP="00094A58">
            <w:pPr>
              <w:pStyle w:val="BodyText"/>
              <w:spacing w:before="12"/>
              <w:jc w:val="center"/>
              <w:rPr>
                <w:lang w:val="id-ID"/>
              </w:rPr>
            </w:pPr>
            <w:r w:rsidRPr="00EC3041">
              <w:rPr>
                <w:lang w:val="id-ID"/>
              </w:rPr>
              <w:t>3%</w:t>
            </w:r>
          </w:p>
        </w:tc>
        <w:tc>
          <w:tcPr>
            <w:tcW w:w="992" w:type="dxa"/>
          </w:tcPr>
          <w:p w14:paraId="47757966" w14:textId="77777777" w:rsidR="003F4A85" w:rsidRPr="00EC3041" w:rsidRDefault="003F4A85" w:rsidP="00094A58">
            <w:pPr>
              <w:pStyle w:val="BodyText"/>
              <w:spacing w:before="12"/>
              <w:jc w:val="center"/>
              <w:rPr>
                <w:lang w:val="id-ID"/>
              </w:rPr>
            </w:pPr>
            <w:r w:rsidRPr="00EC3041">
              <w:rPr>
                <w:lang w:val="id-ID"/>
              </w:rPr>
              <w:t>3%</w:t>
            </w:r>
          </w:p>
        </w:tc>
      </w:tr>
      <w:tr w:rsidR="003F4A85" w:rsidRPr="00EC3041" w14:paraId="0F4A0D09" w14:textId="77777777" w:rsidTr="003F4A85">
        <w:trPr>
          <w:jc w:val="center"/>
        </w:trPr>
        <w:tc>
          <w:tcPr>
            <w:tcW w:w="567" w:type="dxa"/>
          </w:tcPr>
          <w:p w14:paraId="3EB0F61B" w14:textId="77777777" w:rsidR="003F4A85" w:rsidRPr="00EC3041" w:rsidRDefault="003F4A85" w:rsidP="00094A58">
            <w:pPr>
              <w:pStyle w:val="BodyText"/>
              <w:spacing w:before="12"/>
              <w:jc w:val="center"/>
              <w:rPr>
                <w:lang w:val="id-ID"/>
              </w:rPr>
            </w:pPr>
            <w:r w:rsidRPr="00EC3041">
              <w:rPr>
                <w:lang w:val="id-ID"/>
              </w:rPr>
              <w:t>3</w:t>
            </w:r>
          </w:p>
        </w:tc>
        <w:tc>
          <w:tcPr>
            <w:tcW w:w="2693" w:type="dxa"/>
          </w:tcPr>
          <w:p w14:paraId="25DE321E" w14:textId="77777777" w:rsidR="003F4A85" w:rsidRPr="00EC3041" w:rsidRDefault="003F4A85" w:rsidP="00094A58">
            <w:pPr>
              <w:pStyle w:val="BodyText"/>
              <w:spacing w:before="12"/>
              <w:jc w:val="left"/>
              <w:rPr>
                <w:rFonts w:cs="Arial"/>
                <w:spacing w:val="1"/>
                <w:shd w:val="clear" w:color="auto" w:fill="FFFFFF"/>
              </w:rPr>
            </w:pPr>
            <w:r w:rsidRPr="00EC3041">
              <w:rPr>
                <w:rFonts w:cs="Arial"/>
                <w:spacing w:val="1"/>
                <w:shd w:val="clear" w:color="auto" w:fill="FFFFFF"/>
              </w:rPr>
              <w:t>Teaching in class using only existing books</w:t>
            </w:r>
          </w:p>
        </w:tc>
        <w:tc>
          <w:tcPr>
            <w:tcW w:w="1134" w:type="dxa"/>
          </w:tcPr>
          <w:p w14:paraId="583572B4" w14:textId="77777777" w:rsidR="003F4A85" w:rsidRPr="00EC3041" w:rsidRDefault="003F4A85" w:rsidP="00094A58">
            <w:pPr>
              <w:pStyle w:val="BodyText"/>
              <w:spacing w:before="12"/>
              <w:jc w:val="center"/>
              <w:rPr>
                <w:lang w:val="id-ID"/>
              </w:rPr>
            </w:pPr>
            <w:r w:rsidRPr="00EC3041">
              <w:rPr>
                <w:lang w:val="id-ID"/>
              </w:rPr>
              <w:t>9%</w:t>
            </w:r>
          </w:p>
        </w:tc>
        <w:tc>
          <w:tcPr>
            <w:tcW w:w="1134" w:type="dxa"/>
          </w:tcPr>
          <w:p w14:paraId="157E3A03" w14:textId="77777777" w:rsidR="003F4A85" w:rsidRPr="00EC3041" w:rsidRDefault="003F4A85" w:rsidP="00094A58">
            <w:pPr>
              <w:pStyle w:val="BodyText"/>
              <w:spacing w:before="12"/>
              <w:jc w:val="center"/>
              <w:rPr>
                <w:lang w:val="id-ID"/>
              </w:rPr>
            </w:pPr>
            <w:r w:rsidRPr="00EC3041">
              <w:rPr>
                <w:lang w:val="id-ID"/>
              </w:rPr>
              <w:t>29%</w:t>
            </w:r>
          </w:p>
        </w:tc>
        <w:tc>
          <w:tcPr>
            <w:tcW w:w="992" w:type="dxa"/>
          </w:tcPr>
          <w:p w14:paraId="268437AB" w14:textId="77777777" w:rsidR="003F4A85" w:rsidRPr="00EC3041" w:rsidRDefault="003F4A85" w:rsidP="00094A58">
            <w:pPr>
              <w:pStyle w:val="BodyText"/>
              <w:spacing w:before="12"/>
              <w:jc w:val="center"/>
              <w:rPr>
                <w:lang w:val="id-ID"/>
              </w:rPr>
            </w:pPr>
            <w:r w:rsidRPr="00EC3041">
              <w:rPr>
                <w:lang w:val="id-ID"/>
              </w:rPr>
              <w:t>49%</w:t>
            </w:r>
          </w:p>
        </w:tc>
        <w:tc>
          <w:tcPr>
            <w:tcW w:w="992" w:type="dxa"/>
          </w:tcPr>
          <w:p w14:paraId="395865E6" w14:textId="77777777" w:rsidR="003F4A85" w:rsidRPr="00EC3041" w:rsidRDefault="003F4A85" w:rsidP="00094A58">
            <w:pPr>
              <w:pStyle w:val="BodyText"/>
              <w:spacing w:before="12"/>
              <w:jc w:val="center"/>
              <w:rPr>
                <w:lang w:val="id-ID"/>
              </w:rPr>
            </w:pPr>
            <w:r w:rsidRPr="00EC3041">
              <w:rPr>
                <w:lang w:val="id-ID"/>
              </w:rPr>
              <w:t>13%</w:t>
            </w:r>
          </w:p>
        </w:tc>
      </w:tr>
      <w:tr w:rsidR="003F4A85" w:rsidRPr="00EC3041" w14:paraId="6237DFA9" w14:textId="77777777" w:rsidTr="003F4A85">
        <w:trPr>
          <w:jc w:val="center"/>
        </w:trPr>
        <w:tc>
          <w:tcPr>
            <w:tcW w:w="567" w:type="dxa"/>
          </w:tcPr>
          <w:p w14:paraId="26E2DC00" w14:textId="77777777" w:rsidR="003F4A85" w:rsidRPr="00EC3041" w:rsidRDefault="003F4A85" w:rsidP="00094A58">
            <w:pPr>
              <w:pStyle w:val="BodyText"/>
              <w:spacing w:before="12"/>
              <w:jc w:val="center"/>
              <w:rPr>
                <w:lang w:val="id-ID"/>
              </w:rPr>
            </w:pPr>
            <w:r w:rsidRPr="00EC3041">
              <w:rPr>
                <w:lang w:val="id-ID"/>
              </w:rPr>
              <w:t>4</w:t>
            </w:r>
          </w:p>
        </w:tc>
        <w:tc>
          <w:tcPr>
            <w:tcW w:w="2693" w:type="dxa"/>
          </w:tcPr>
          <w:p w14:paraId="681EBBA6" w14:textId="77777777" w:rsidR="003F4A85" w:rsidRPr="00EC3041" w:rsidRDefault="003F4A85" w:rsidP="00094A58">
            <w:pPr>
              <w:pStyle w:val="BodyText"/>
              <w:spacing w:before="12"/>
              <w:jc w:val="left"/>
              <w:rPr>
                <w:rFonts w:cs="Arial"/>
                <w:spacing w:val="1"/>
                <w:highlight w:val="lightGray"/>
                <w:shd w:val="clear" w:color="auto" w:fill="FFFFFF"/>
              </w:rPr>
            </w:pPr>
            <w:r w:rsidRPr="003F4A85">
              <w:rPr>
                <w:rFonts w:cs="Arial"/>
                <w:spacing w:val="1"/>
                <w:shd w:val="clear" w:color="auto" w:fill="FFFFFF"/>
              </w:rPr>
              <w:t>Feeling that has no obligation that before teaching to make a planning program</w:t>
            </w:r>
          </w:p>
        </w:tc>
        <w:tc>
          <w:tcPr>
            <w:tcW w:w="1134" w:type="dxa"/>
          </w:tcPr>
          <w:p w14:paraId="7E11AC5D" w14:textId="77777777" w:rsidR="003F4A85" w:rsidRPr="00EC3041" w:rsidRDefault="003F4A85" w:rsidP="00094A58">
            <w:pPr>
              <w:pStyle w:val="BodyText"/>
              <w:spacing w:before="12"/>
              <w:jc w:val="center"/>
              <w:rPr>
                <w:lang w:val="id-ID"/>
              </w:rPr>
            </w:pPr>
            <w:r w:rsidRPr="00EC3041">
              <w:rPr>
                <w:lang w:val="id-ID"/>
              </w:rPr>
              <w:t>5%</w:t>
            </w:r>
          </w:p>
        </w:tc>
        <w:tc>
          <w:tcPr>
            <w:tcW w:w="1134" w:type="dxa"/>
          </w:tcPr>
          <w:p w14:paraId="070E5C8E" w14:textId="77777777" w:rsidR="003F4A85" w:rsidRPr="00EC3041" w:rsidRDefault="003F4A85" w:rsidP="00094A58">
            <w:pPr>
              <w:pStyle w:val="BodyText"/>
              <w:spacing w:before="12"/>
              <w:jc w:val="center"/>
              <w:rPr>
                <w:lang w:val="id-ID"/>
              </w:rPr>
            </w:pPr>
            <w:r w:rsidRPr="00EC3041">
              <w:rPr>
                <w:lang w:val="id-ID"/>
              </w:rPr>
              <w:t>15%</w:t>
            </w:r>
          </w:p>
        </w:tc>
        <w:tc>
          <w:tcPr>
            <w:tcW w:w="992" w:type="dxa"/>
          </w:tcPr>
          <w:p w14:paraId="4D01754C" w14:textId="77777777" w:rsidR="003F4A85" w:rsidRPr="00EC3041" w:rsidRDefault="003F4A85" w:rsidP="00094A58">
            <w:pPr>
              <w:pStyle w:val="BodyText"/>
              <w:spacing w:before="12"/>
              <w:jc w:val="center"/>
              <w:rPr>
                <w:lang w:val="id-ID"/>
              </w:rPr>
            </w:pPr>
            <w:r w:rsidRPr="00EC3041">
              <w:rPr>
                <w:lang w:val="id-ID"/>
              </w:rPr>
              <w:t>9%</w:t>
            </w:r>
          </w:p>
        </w:tc>
        <w:tc>
          <w:tcPr>
            <w:tcW w:w="992" w:type="dxa"/>
          </w:tcPr>
          <w:p w14:paraId="4BFDC9E9" w14:textId="77777777" w:rsidR="003F4A85" w:rsidRPr="00EC3041" w:rsidRDefault="003F4A85" w:rsidP="00094A58">
            <w:pPr>
              <w:pStyle w:val="BodyText"/>
              <w:spacing w:before="12"/>
              <w:jc w:val="center"/>
              <w:rPr>
                <w:lang w:val="id-ID"/>
              </w:rPr>
            </w:pPr>
            <w:r w:rsidRPr="00EC3041">
              <w:rPr>
                <w:lang w:val="id-ID"/>
              </w:rPr>
              <w:t>71%</w:t>
            </w:r>
          </w:p>
        </w:tc>
      </w:tr>
      <w:tr w:rsidR="003F4A85" w:rsidRPr="00EC3041" w14:paraId="03D6A990" w14:textId="77777777" w:rsidTr="003F4A85">
        <w:trPr>
          <w:jc w:val="center"/>
        </w:trPr>
        <w:tc>
          <w:tcPr>
            <w:tcW w:w="567" w:type="dxa"/>
          </w:tcPr>
          <w:p w14:paraId="148C4571" w14:textId="77777777" w:rsidR="003F4A85" w:rsidRPr="00EC3041" w:rsidRDefault="003F4A85" w:rsidP="00094A58">
            <w:pPr>
              <w:pStyle w:val="BodyText"/>
              <w:spacing w:before="12"/>
              <w:jc w:val="center"/>
              <w:rPr>
                <w:lang w:val="id-ID"/>
              </w:rPr>
            </w:pPr>
            <w:r w:rsidRPr="00EC3041">
              <w:rPr>
                <w:lang w:val="id-ID"/>
              </w:rPr>
              <w:t>5</w:t>
            </w:r>
          </w:p>
        </w:tc>
        <w:tc>
          <w:tcPr>
            <w:tcW w:w="2693" w:type="dxa"/>
          </w:tcPr>
          <w:p w14:paraId="6450BADE" w14:textId="77777777" w:rsidR="003F4A85" w:rsidRPr="00EC3041" w:rsidRDefault="003F4A85" w:rsidP="00094A58">
            <w:pPr>
              <w:pStyle w:val="BodyText"/>
              <w:spacing w:before="12"/>
              <w:jc w:val="left"/>
              <w:rPr>
                <w:rFonts w:cs="Arial"/>
                <w:spacing w:val="1"/>
                <w:shd w:val="clear" w:color="auto" w:fill="FFFFFF"/>
              </w:rPr>
            </w:pPr>
            <w:r w:rsidRPr="00EC3041">
              <w:rPr>
                <w:rFonts w:cs="Arial"/>
                <w:spacing w:val="1"/>
                <w:shd w:val="clear" w:color="auto" w:fill="FFFFFF"/>
              </w:rPr>
              <w:t>Providing subject matter refers to the latest books according to the curriculum.</w:t>
            </w:r>
          </w:p>
        </w:tc>
        <w:tc>
          <w:tcPr>
            <w:tcW w:w="1134" w:type="dxa"/>
          </w:tcPr>
          <w:p w14:paraId="081DC70B" w14:textId="77777777" w:rsidR="003F4A85" w:rsidRPr="00EC3041" w:rsidRDefault="003F4A85" w:rsidP="00094A58">
            <w:pPr>
              <w:pStyle w:val="BodyText"/>
              <w:spacing w:before="12"/>
              <w:jc w:val="center"/>
              <w:rPr>
                <w:lang w:val="id-ID"/>
              </w:rPr>
            </w:pPr>
            <w:r w:rsidRPr="00EC3041">
              <w:rPr>
                <w:lang w:val="id-ID"/>
              </w:rPr>
              <w:t>81%</w:t>
            </w:r>
          </w:p>
        </w:tc>
        <w:tc>
          <w:tcPr>
            <w:tcW w:w="1134" w:type="dxa"/>
          </w:tcPr>
          <w:p w14:paraId="7969B627" w14:textId="77777777" w:rsidR="003F4A85" w:rsidRPr="00EC3041" w:rsidRDefault="003F4A85" w:rsidP="00094A58">
            <w:pPr>
              <w:pStyle w:val="BodyText"/>
              <w:spacing w:before="12"/>
              <w:jc w:val="center"/>
              <w:rPr>
                <w:lang w:val="id-ID"/>
              </w:rPr>
            </w:pPr>
            <w:r w:rsidRPr="00EC3041">
              <w:rPr>
                <w:lang w:val="id-ID"/>
              </w:rPr>
              <w:t>12%</w:t>
            </w:r>
          </w:p>
        </w:tc>
        <w:tc>
          <w:tcPr>
            <w:tcW w:w="992" w:type="dxa"/>
          </w:tcPr>
          <w:p w14:paraId="677DE91B" w14:textId="77777777" w:rsidR="003F4A85" w:rsidRPr="00EC3041" w:rsidRDefault="003F4A85" w:rsidP="00094A58">
            <w:pPr>
              <w:pStyle w:val="BodyText"/>
              <w:spacing w:before="12"/>
              <w:jc w:val="center"/>
              <w:rPr>
                <w:lang w:val="id-ID"/>
              </w:rPr>
            </w:pPr>
            <w:r w:rsidRPr="00EC3041">
              <w:rPr>
                <w:lang w:val="id-ID"/>
              </w:rPr>
              <w:t>9%</w:t>
            </w:r>
          </w:p>
        </w:tc>
        <w:tc>
          <w:tcPr>
            <w:tcW w:w="992" w:type="dxa"/>
          </w:tcPr>
          <w:p w14:paraId="6464A339" w14:textId="77777777" w:rsidR="003F4A85" w:rsidRPr="00EC3041" w:rsidRDefault="003F4A85" w:rsidP="00094A58">
            <w:pPr>
              <w:pStyle w:val="BodyText"/>
              <w:spacing w:before="12"/>
              <w:jc w:val="center"/>
              <w:rPr>
                <w:lang w:val="id-ID"/>
              </w:rPr>
            </w:pPr>
            <w:r w:rsidRPr="00EC3041">
              <w:rPr>
                <w:lang w:val="id-ID"/>
              </w:rPr>
              <w:t>0%</w:t>
            </w:r>
          </w:p>
        </w:tc>
      </w:tr>
      <w:tr w:rsidR="003F4A85" w:rsidRPr="00EC3041" w14:paraId="6AFE7482" w14:textId="77777777" w:rsidTr="003F4A85">
        <w:trPr>
          <w:jc w:val="center"/>
        </w:trPr>
        <w:tc>
          <w:tcPr>
            <w:tcW w:w="567" w:type="dxa"/>
          </w:tcPr>
          <w:p w14:paraId="5D33A359" w14:textId="77777777" w:rsidR="003F4A85" w:rsidRPr="00EC3041" w:rsidRDefault="003F4A85" w:rsidP="00094A58">
            <w:pPr>
              <w:pStyle w:val="BodyText"/>
              <w:spacing w:before="12"/>
              <w:jc w:val="center"/>
              <w:rPr>
                <w:lang w:val="id-ID"/>
              </w:rPr>
            </w:pPr>
            <w:r w:rsidRPr="00EC3041">
              <w:rPr>
                <w:lang w:val="id-ID"/>
              </w:rPr>
              <w:t>6</w:t>
            </w:r>
          </w:p>
        </w:tc>
        <w:tc>
          <w:tcPr>
            <w:tcW w:w="2693" w:type="dxa"/>
          </w:tcPr>
          <w:p w14:paraId="210E635A" w14:textId="2481F07B" w:rsidR="003F4A85" w:rsidRPr="003F4A85" w:rsidRDefault="003F4A85" w:rsidP="00094A58">
            <w:pPr>
              <w:pStyle w:val="BodyText"/>
              <w:spacing w:before="12"/>
              <w:jc w:val="left"/>
              <w:rPr>
                <w:rFonts w:cs="Arial"/>
                <w:spacing w:val="1"/>
                <w:shd w:val="clear" w:color="auto" w:fill="FFFFFF"/>
              </w:rPr>
            </w:pPr>
            <w:r w:rsidRPr="003F4A85">
              <w:rPr>
                <w:rFonts w:cs="Arial"/>
                <w:spacing w:val="1"/>
                <w:shd w:val="clear" w:color="auto" w:fill="FFFFFF"/>
              </w:rPr>
              <w:t xml:space="preserve">Applying active learning media from training at the </w:t>
            </w:r>
            <w:r w:rsidR="00351C08">
              <w:t>CoP</w:t>
            </w:r>
            <w:r w:rsidRPr="003F4A85">
              <w:rPr>
                <w:rFonts w:cs="Arial"/>
                <w:spacing w:val="1"/>
                <w:shd w:val="clear" w:color="auto" w:fill="FFFFFF"/>
              </w:rPr>
              <w:t xml:space="preserve"> forum</w:t>
            </w:r>
          </w:p>
        </w:tc>
        <w:tc>
          <w:tcPr>
            <w:tcW w:w="1134" w:type="dxa"/>
          </w:tcPr>
          <w:p w14:paraId="40063B41" w14:textId="77777777" w:rsidR="003F4A85" w:rsidRPr="00EC3041" w:rsidRDefault="003F4A85" w:rsidP="00094A58">
            <w:pPr>
              <w:pStyle w:val="BodyText"/>
              <w:spacing w:before="12"/>
              <w:jc w:val="center"/>
              <w:rPr>
                <w:lang w:val="id-ID"/>
              </w:rPr>
            </w:pPr>
            <w:r w:rsidRPr="00EC3041">
              <w:rPr>
                <w:lang w:val="id-ID"/>
              </w:rPr>
              <w:t>39%</w:t>
            </w:r>
          </w:p>
        </w:tc>
        <w:tc>
          <w:tcPr>
            <w:tcW w:w="1134" w:type="dxa"/>
          </w:tcPr>
          <w:p w14:paraId="4A1BF1FF" w14:textId="77777777" w:rsidR="003F4A85" w:rsidRPr="00EC3041" w:rsidRDefault="003F4A85" w:rsidP="00094A58">
            <w:pPr>
              <w:pStyle w:val="BodyText"/>
              <w:spacing w:before="12"/>
              <w:jc w:val="center"/>
              <w:rPr>
                <w:lang w:val="id-ID"/>
              </w:rPr>
            </w:pPr>
            <w:r w:rsidRPr="00EC3041">
              <w:rPr>
                <w:lang w:val="id-ID"/>
              </w:rPr>
              <w:t>34%</w:t>
            </w:r>
          </w:p>
        </w:tc>
        <w:tc>
          <w:tcPr>
            <w:tcW w:w="992" w:type="dxa"/>
          </w:tcPr>
          <w:p w14:paraId="2D1FA51F" w14:textId="77777777" w:rsidR="003F4A85" w:rsidRPr="00EC3041" w:rsidRDefault="003F4A85" w:rsidP="00094A58">
            <w:pPr>
              <w:pStyle w:val="BodyText"/>
              <w:spacing w:before="12"/>
              <w:jc w:val="center"/>
              <w:rPr>
                <w:lang w:val="id-ID"/>
              </w:rPr>
            </w:pPr>
            <w:r w:rsidRPr="00EC3041">
              <w:rPr>
                <w:lang w:val="id-ID"/>
              </w:rPr>
              <w:t>24%</w:t>
            </w:r>
          </w:p>
        </w:tc>
        <w:tc>
          <w:tcPr>
            <w:tcW w:w="992" w:type="dxa"/>
          </w:tcPr>
          <w:p w14:paraId="320E55CD" w14:textId="77777777" w:rsidR="003F4A85" w:rsidRPr="00EC3041" w:rsidRDefault="003F4A85" w:rsidP="00094A58">
            <w:pPr>
              <w:pStyle w:val="BodyText"/>
              <w:spacing w:before="12"/>
              <w:jc w:val="center"/>
              <w:rPr>
                <w:lang w:val="id-ID"/>
              </w:rPr>
            </w:pPr>
            <w:r w:rsidRPr="00EC3041">
              <w:rPr>
                <w:lang w:val="id-ID"/>
              </w:rPr>
              <w:t>3%</w:t>
            </w:r>
          </w:p>
        </w:tc>
      </w:tr>
      <w:tr w:rsidR="003F4A85" w:rsidRPr="00EC3041" w14:paraId="602CA78D" w14:textId="77777777" w:rsidTr="003F4A85">
        <w:trPr>
          <w:jc w:val="center"/>
        </w:trPr>
        <w:tc>
          <w:tcPr>
            <w:tcW w:w="567" w:type="dxa"/>
          </w:tcPr>
          <w:p w14:paraId="3EC893AA" w14:textId="77777777" w:rsidR="003F4A85" w:rsidRPr="00EC3041" w:rsidRDefault="003F4A85" w:rsidP="00094A58">
            <w:pPr>
              <w:pStyle w:val="BodyText"/>
              <w:spacing w:before="12"/>
              <w:jc w:val="center"/>
              <w:rPr>
                <w:lang w:val="id-ID"/>
              </w:rPr>
            </w:pPr>
            <w:r w:rsidRPr="00EC3041">
              <w:rPr>
                <w:lang w:val="id-ID"/>
              </w:rPr>
              <w:t>7</w:t>
            </w:r>
          </w:p>
        </w:tc>
        <w:tc>
          <w:tcPr>
            <w:tcW w:w="2693" w:type="dxa"/>
          </w:tcPr>
          <w:p w14:paraId="2FD5C517" w14:textId="77777777" w:rsidR="003F4A85" w:rsidRPr="00EC3041" w:rsidRDefault="003F4A85" w:rsidP="00094A58">
            <w:pPr>
              <w:pStyle w:val="BodyText"/>
              <w:spacing w:before="12"/>
              <w:jc w:val="left"/>
              <w:rPr>
                <w:rFonts w:cs="Arial"/>
                <w:spacing w:val="1"/>
                <w:shd w:val="clear" w:color="auto" w:fill="FFFFFF"/>
              </w:rPr>
            </w:pPr>
            <w:r w:rsidRPr="00EC3041">
              <w:rPr>
                <w:rFonts w:cs="Arial"/>
                <w:spacing w:val="1"/>
                <w:shd w:val="clear" w:color="auto" w:fill="FFFFFF"/>
              </w:rPr>
              <w:t>Providing an assessment to students according to active learning and student abilities</w:t>
            </w:r>
          </w:p>
        </w:tc>
        <w:tc>
          <w:tcPr>
            <w:tcW w:w="1134" w:type="dxa"/>
          </w:tcPr>
          <w:p w14:paraId="36F6BF26" w14:textId="77777777" w:rsidR="003F4A85" w:rsidRPr="00EC3041" w:rsidRDefault="003F4A85" w:rsidP="00094A58">
            <w:pPr>
              <w:pStyle w:val="BodyText"/>
              <w:spacing w:before="12"/>
              <w:jc w:val="center"/>
              <w:rPr>
                <w:lang w:val="id-ID"/>
              </w:rPr>
            </w:pPr>
            <w:r w:rsidRPr="00EC3041">
              <w:rPr>
                <w:lang w:val="id-ID"/>
              </w:rPr>
              <w:t>88%</w:t>
            </w:r>
          </w:p>
        </w:tc>
        <w:tc>
          <w:tcPr>
            <w:tcW w:w="1134" w:type="dxa"/>
          </w:tcPr>
          <w:p w14:paraId="330FECB2" w14:textId="77777777" w:rsidR="003F4A85" w:rsidRPr="00EC3041" w:rsidRDefault="003F4A85" w:rsidP="00094A58">
            <w:pPr>
              <w:pStyle w:val="BodyText"/>
              <w:spacing w:before="12"/>
              <w:jc w:val="center"/>
              <w:rPr>
                <w:lang w:val="id-ID"/>
              </w:rPr>
            </w:pPr>
            <w:r w:rsidRPr="00EC3041">
              <w:rPr>
                <w:lang w:val="id-ID"/>
              </w:rPr>
              <w:t>12%</w:t>
            </w:r>
          </w:p>
        </w:tc>
        <w:tc>
          <w:tcPr>
            <w:tcW w:w="992" w:type="dxa"/>
          </w:tcPr>
          <w:p w14:paraId="04F844FB" w14:textId="77777777" w:rsidR="003F4A85" w:rsidRPr="00EC3041" w:rsidRDefault="003F4A85" w:rsidP="00094A58">
            <w:pPr>
              <w:pStyle w:val="BodyText"/>
              <w:spacing w:before="12"/>
              <w:jc w:val="center"/>
              <w:rPr>
                <w:lang w:val="id-ID"/>
              </w:rPr>
            </w:pPr>
            <w:r w:rsidRPr="00EC3041">
              <w:rPr>
                <w:lang w:val="id-ID"/>
              </w:rPr>
              <w:t>0%</w:t>
            </w:r>
          </w:p>
        </w:tc>
        <w:tc>
          <w:tcPr>
            <w:tcW w:w="992" w:type="dxa"/>
          </w:tcPr>
          <w:p w14:paraId="437AFC44" w14:textId="77777777" w:rsidR="003F4A85" w:rsidRPr="00EC3041" w:rsidRDefault="003F4A85" w:rsidP="00094A58">
            <w:pPr>
              <w:pStyle w:val="BodyText"/>
              <w:spacing w:before="12"/>
              <w:jc w:val="center"/>
              <w:rPr>
                <w:lang w:val="id-ID"/>
              </w:rPr>
            </w:pPr>
            <w:r w:rsidRPr="00EC3041">
              <w:rPr>
                <w:lang w:val="id-ID"/>
              </w:rPr>
              <w:t>0%</w:t>
            </w:r>
          </w:p>
        </w:tc>
      </w:tr>
      <w:tr w:rsidR="003F4A85" w:rsidRPr="00EC3041" w14:paraId="4ECD7DF3" w14:textId="77777777" w:rsidTr="003F4A85">
        <w:trPr>
          <w:trHeight w:val="335"/>
          <w:jc w:val="center"/>
        </w:trPr>
        <w:tc>
          <w:tcPr>
            <w:tcW w:w="567" w:type="dxa"/>
          </w:tcPr>
          <w:p w14:paraId="2C24A6D0" w14:textId="77777777" w:rsidR="003F4A85" w:rsidRPr="00EC3041" w:rsidRDefault="003F4A85" w:rsidP="00094A58">
            <w:pPr>
              <w:pStyle w:val="BodyText"/>
              <w:spacing w:before="12"/>
              <w:jc w:val="center"/>
              <w:rPr>
                <w:lang w:val="id-ID"/>
              </w:rPr>
            </w:pPr>
            <w:r w:rsidRPr="00EC3041">
              <w:rPr>
                <w:lang w:val="id-ID"/>
              </w:rPr>
              <w:t>8</w:t>
            </w:r>
          </w:p>
        </w:tc>
        <w:tc>
          <w:tcPr>
            <w:tcW w:w="2693" w:type="dxa"/>
          </w:tcPr>
          <w:p w14:paraId="15204432" w14:textId="10AF7797" w:rsidR="003F4A85" w:rsidRDefault="003F4A85" w:rsidP="00094A58">
            <w:pPr>
              <w:pStyle w:val="BodyText"/>
              <w:spacing w:before="12"/>
              <w:jc w:val="left"/>
              <w:rPr>
                <w:rFonts w:cs="Arial"/>
                <w:spacing w:val="1"/>
                <w:highlight w:val="lightGray"/>
                <w:shd w:val="pct15" w:color="auto" w:fill="FFFFFF"/>
              </w:rPr>
            </w:pPr>
            <w:r w:rsidRPr="003F4A85">
              <w:rPr>
                <w:rFonts w:cs="Arial"/>
                <w:spacing w:val="1"/>
                <w:shd w:val="clear" w:color="auto" w:fill="FFFFFF"/>
              </w:rPr>
              <w:t xml:space="preserve">There is a </w:t>
            </w:r>
            <w:r w:rsidR="00351C08">
              <w:t>CoP</w:t>
            </w:r>
            <w:r w:rsidRPr="003F4A85">
              <w:rPr>
                <w:rFonts w:cs="Arial"/>
                <w:spacing w:val="1"/>
                <w:shd w:val="clear" w:color="auto" w:fill="FFFFFF"/>
              </w:rPr>
              <w:t xml:space="preserve"> program on the analysis of learning evaluation questions before they are tested.</w:t>
            </w:r>
          </w:p>
          <w:p w14:paraId="11E4E259" w14:textId="77777777" w:rsidR="003F4A85" w:rsidRPr="003F4A85" w:rsidRDefault="003F4A85" w:rsidP="00094A58">
            <w:pPr>
              <w:pStyle w:val="BodyText"/>
              <w:spacing w:before="12"/>
              <w:jc w:val="left"/>
              <w:rPr>
                <w:rFonts w:cs="Arial"/>
                <w:spacing w:val="1"/>
                <w:highlight w:val="lightGray"/>
                <w:shd w:val="pct15" w:color="auto" w:fill="FFFFFF"/>
              </w:rPr>
            </w:pPr>
          </w:p>
        </w:tc>
        <w:tc>
          <w:tcPr>
            <w:tcW w:w="1134" w:type="dxa"/>
          </w:tcPr>
          <w:p w14:paraId="14CC1BF1" w14:textId="77777777" w:rsidR="003F4A85" w:rsidRPr="00EC3041" w:rsidRDefault="003F4A85" w:rsidP="00094A58">
            <w:pPr>
              <w:pStyle w:val="BodyText"/>
              <w:spacing w:before="12"/>
              <w:jc w:val="center"/>
              <w:rPr>
                <w:lang w:val="id-ID"/>
              </w:rPr>
            </w:pPr>
            <w:r w:rsidRPr="00EC3041">
              <w:rPr>
                <w:lang w:val="id-ID"/>
              </w:rPr>
              <w:t>24%</w:t>
            </w:r>
          </w:p>
        </w:tc>
        <w:tc>
          <w:tcPr>
            <w:tcW w:w="1134" w:type="dxa"/>
          </w:tcPr>
          <w:p w14:paraId="7558BB73" w14:textId="77777777" w:rsidR="003F4A85" w:rsidRPr="00EC3041" w:rsidRDefault="003F4A85" w:rsidP="00094A58">
            <w:pPr>
              <w:pStyle w:val="BodyText"/>
              <w:spacing w:before="12"/>
              <w:jc w:val="center"/>
              <w:rPr>
                <w:lang w:val="id-ID"/>
              </w:rPr>
            </w:pPr>
            <w:r w:rsidRPr="00EC3041">
              <w:rPr>
                <w:lang w:val="id-ID"/>
              </w:rPr>
              <w:t>53%</w:t>
            </w:r>
          </w:p>
        </w:tc>
        <w:tc>
          <w:tcPr>
            <w:tcW w:w="992" w:type="dxa"/>
          </w:tcPr>
          <w:p w14:paraId="681C0EE1" w14:textId="77777777" w:rsidR="003F4A85" w:rsidRPr="00EC3041" w:rsidRDefault="003F4A85" w:rsidP="00094A58">
            <w:pPr>
              <w:pStyle w:val="BodyText"/>
              <w:spacing w:before="12"/>
              <w:jc w:val="center"/>
              <w:rPr>
                <w:lang w:val="id-ID"/>
              </w:rPr>
            </w:pPr>
            <w:r w:rsidRPr="00EC3041">
              <w:rPr>
                <w:lang w:val="id-ID"/>
              </w:rPr>
              <w:t>17%</w:t>
            </w:r>
          </w:p>
        </w:tc>
        <w:tc>
          <w:tcPr>
            <w:tcW w:w="992" w:type="dxa"/>
          </w:tcPr>
          <w:p w14:paraId="1773C15B" w14:textId="77777777" w:rsidR="003F4A85" w:rsidRPr="00EC3041" w:rsidRDefault="003F4A85" w:rsidP="00094A58">
            <w:pPr>
              <w:pStyle w:val="BodyText"/>
              <w:spacing w:before="12"/>
              <w:jc w:val="center"/>
              <w:rPr>
                <w:lang w:val="id-ID"/>
              </w:rPr>
            </w:pPr>
            <w:r w:rsidRPr="00EC3041">
              <w:rPr>
                <w:lang w:val="id-ID"/>
              </w:rPr>
              <w:t>6%</w:t>
            </w:r>
          </w:p>
        </w:tc>
      </w:tr>
    </w:tbl>
    <w:p w14:paraId="3C65AE77" w14:textId="77777777" w:rsidR="001A31F2" w:rsidRDefault="001A31F2" w:rsidP="001A31F2">
      <w:pPr>
        <w:pStyle w:val="BodyText"/>
        <w:spacing w:before="12"/>
        <w:ind w:left="709" w:right="1109"/>
        <w:rPr>
          <w:lang w:val="id-ID"/>
        </w:rPr>
      </w:pPr>
    </w:p>
    <w:p w14:paraId="23E2E73F" w14:textId="49F04F94" w:rsidR="00542E83" w:rsidRDefault="00542E83" w:rsidP="001A31F2">
      <w:pPr>
        <w:pStyle w:val="BodyText"/>
        <w:spacing w:before="12"/>
        <w:ind w:left="709" w:right="1109"/>
        <w:rPr>
          <w:lang w:val="en-GB"/>
        </w:rPr>
      </w:pPr>
      <w:r w:rsidRPr="00542E83">
        <w:rPr>
          <w:lang w:val="en-GB"/>
        </w:rPr>
        <w:t xml:space="preserve">The results of this study through a questionnaire via google form, there were 60 respondents. There are 8 (eight) statements related to the role of the </w:t>
      </w:r>
      <w:r w:rsidR="00351C08">
        <w:rPr>
          <w:lang w:val="en-GB"/>
        </w:rPr>
        <w:t>CoP</w:t>
      </w:r>
      <w:r w:rsidRPr="00542E83">
        <w:rPr>
          <w:lang w:val="en-GB"/>
        </w:rPr>
        <w:t xml:space="preserve"> on the performance of primary school teachers in Riau Province. The first statement states that 37% of the learning units are always made for every time the meeting is discussed together at the local </w:t>
      </w:r>
      <w:proofErr w:type="spellStart"/>
      <w:r w:rsidR="00351C08">
        <w:rPr>
          <w:lang w:val="en-GB"/>
        </w:rPr>
        <w:t>CoP</w:t>
      </w:r>
      <w:r w:rsidRPr="00542E83">
        <w:rPr>
          <w:lang w:val="en-GB"/>
        </w:rPr>
        <w:t>.</w:t>
      </w:r>
      <w:proofErr w:type="spellEnd"/>
      <w:r w:rsidRPr="00542E83">
        <w:rPr>
          <w:lang w:val="en-GB"/>
        </w:rPr>
        <w:t xml:space="preserve"> Meanwhile, 7% of the teachers never created a learning unit for every meeting with the </w:t>
      </w:r>
      <w:proofErr w:type="spellStart"/>
      <w:r w:rsidR="00351C08">
        <w:rPr>
          <w:lang w:val="en-GB"/>
        </w:rPr>
        <w:t>CoP</w:t>
      </w:r>
      <w:r w:rsidRPr="00542E83">
        <w:rPr>
          <w:lang w:val="en-GB"/>
        </w:rPr>
        <w:t>.</w:t>
      </w:r>
      <w:proofErr w:type="spellEnd"/>
      <w:r w:rsidRPr="00542E83">
        <w:rPr>
          <w:lang w:val="en-GB"/>
        </w:rPr>
        <w:t xml:space="preserve"> Based on these data, it can be seen that most of the </w:t>
      </w:r>
      <w:r w:rsidR="00351C08">
        <w:rPr>
          <w:lang w:val="en-GB"/>
        </w:rPr>
        <w:t>CoP</w:t>
      </w:r>
      <w:r w:rsidRPr="00542E83">
        <w:rPr>
          <w:lang w:val="en-GB"/>
        </w:rPr>
        <w:t xml:space="preserve"> activities have created learning units and utilized </w:t>
      </w:r>
      <w:r w:rsidR="00351C08">
        <w:rPr>
          <w:lang w:val="en-GB"/>
        </w:rPr>
        <w:t>CoP</w:t>
      </w:r>
      <w:r w:rsidRPr="00542E83">
        <w:rPr>
          <w:lang w:val="en-GB"/>
        </w:rPr>
        <w:t xml:space="preserve"> activities for the benefit of making lesson plans. Furthermore, most teachers have prepared lesson plans using active learning based on an analysis of student abilities. In line with the 2013 curriculum, which requires students to learn actively (student </w:t>
      </w:r>
      <w:proofErr w:type="spellStart"/>
      <w:r w:rsidRPr="00542E83">
        <w:rPr>
          <w:lang w:val="en-GB"/>
        </w:rPr>
        <w:t>center</w:t>
      </w:r>
      <w:proofErr w:type="spellEnd"/>
      <w:r w:rsidRPr="00542E83">
        <w:rPr>
          <w:lang w:val="en-GB"/>
        </w:rPr>
        <w:t>) (</w:t>
      </w:r>
      <w:proofErr w:type="spellStart"/>
      <w:r w:rsidRPr="00542E83">
        <w:rPr>
          <w:lang w:val="en-GB"/>
        </w:rPr>
        <w:t>Suwarjo</w:t>
      </w:r>
      <w:proofErr w:type="spellEnd"/>
      <w:r w:rsidRPr="00542E83">
        <w:rPr>
          <w:lang w:val="en-GB"/>
        </w:rPr>
        <w:t>, et al., 2015). Teachers as facilitators and motivators for students (</w:t>
      </w:r>
      <w:proofErr w:type="spellStart"/>
      <w:r w:rsidRPr="00542E83">
        <w:rPr>
          <w:lang w:val="en-GB"/>
        </w:rPr>
        <w:t>Esi</w:t>
      </w:r>
      <w:proofErr w:type="spellEnd"/>
      <w:r w:rsidRPr="00542E83">
        <w:rPr>
          <w:lang w:val="en-GB"/>
        </w:rPr>
        <w:t xml:space="preserve">, et al., 2016). </w:t>
      </w:r>
    </w:p>
    <w:p w14:paraId="52CE1176" w14:textId="77777777" w:rsidR="001143CD" w:rsidRPr="00542E83" w:rsidRDefault="001143CD" w:rsidP="00542E83">
      <w:pPr>
        <w:pStyle w:val="Heading1"/>
        <w:ind w:right="2666"/>
        <w:jc w:val="left"/>
      </w:pPr>
      <w:bookmarkStart w:id="9" w:name="RESULTS_AND_DISCUSSION"/>
      <w:bookmarkEnd w:id="9"/>
    </w:p>
    <w:p w14:paraId="4680B0D6" w14:textId="77777777" w:rsidR="009A06C2" w:rsidRDefault="00112262">
      <w:pPr>
        <w:pStyle w:val="Heading1"/>
        <w:ind w:right="2666"/>
      </w:pPr>
      <w:r>
        <w:t>RESULTS AND DISCUSSION</w:t>
      </w:r>
    </w:p>
    <w:p w14:paraId="520CDAD5" w14:textId="77777777" w:rsidR="00542E83" w:rsidRPr="00542E83" w:rsidRDefault="00542E83" w:rsidP="00542E83">
      <w:pPr>
        <w:pStyle w:val="BodyText"/>
        <w:spacing w:before="117"/>
        <w:ind w:left="709" w:right="1109" w:firstLine="283"/>
        <w:rPr>
          <w:lang w:val="en-GB"/>
        </w:rPr>
      </w:pPr>
      <w:bookmarkStart w:id="10" w:name="Preconception_Profiles"/>
      <w:bookmarkEnd w:id="10"/>
      <w:r w:rsidRPr="00542E83">
        <w:rPr>
          <w:lang w:val="en-GB"/>
        </w:rPr>
        <w:t>Teachers always use existi</w:t>
      </w:r>
      <w:r w:rsidR="008F29EE">
        <w:rPr>
          <w:lang w:val="en-GB"/>
        </w:rPr>
        <w:t xml:space="preserve">ng books in class teaching </w:t>
      </w:r>
      <w:r w:rsidR="008F29EE">
        <w:rPr>
          <w:lang w:val="en-GB"/>
        </w:rPr>
        <w:fldChar w:fldCharType="begin" w:fldLock="1"/>
      </w:r>
      <w:r w:rsidR="00CF52C2">
        <w:rPr>
          <w:lang w:val="en-GB"/>
        </w:rPr>
        <w:instrText>ADDIN CSL_CITATION {"citationItems":[{"id":"ITEM-1","itemData":{"author":[{"dropping-particle":"","family":"Aditya","given":"Purnama","non-dropping-particle":"","parse-names":false,"suffix":""},{"dropping-particle":"","family":"Wijaya","given":"Tommy Tanu","non-dropping-particle":"","parse-names":false,"suffix":""},{"dropping-particle":"","family":"Dewi","given":"Senja Noviani","non-dropping-particle":"","parse-names":false,"suffix":""},{"dropping-particle":"","family":"Zulfah","given":"Zulfah","non-dropping-particle":"","parse-names":false,"suffix":""}],"container-title":"Jurnal Cendekia: Jurnal Pendidikan Matematika","id":"ITEM-1","issue":"2","issued":{"date-parts":[["2020"]]},"page":"813-822","title":"ANALISIS BUKU SISWA MATEMATIKA SMA DARI INDONESIA DAN CHINA PADA MATERI PELUANG DAN STATISTIK","type":"article-journal","volume":"4"},"uris":["http://www.mendeley.com/documents/?uuid=184b357a-43ce-412e-a780-efcc90037ed8"]},{"id":"ITEM-2","itemData":{"DOI":"10.1007/s10649-013-9513-3","ISBN":"1064901395","ISSN":"15730816","abstract":"The purpose of this cross-national study is to understand teachers' views about the meaning of instructional coherence and the ways to achieve instructional coherence. With respect to the meaning of instructional coherence, whereas the majority of U.S. teachers paid attention to connections between teaching activities, lessons, or topics, the majority of Chinese teachers emphasized the interconnected nature of mathematical knowledge beyond the teaching flow. U.S. teachers expressed their views about ways to achieve instructional coherence through managing a complete lesson structure. In contrast, Chinese teachers emphasized pre-design of teaching sequences, transitional language and questioning based on the study of textbooks and students beforehand. Moreover, they emphasized addressing student thinking and dealing with emerging events in order to achieve \"real\" coherence. The findings of the study contribute to our understanding about the meaning of instructional coherence and ways to achieve instructional coherence in different cultural contexts. © 2013 Springer Science+Business Media Dordrecht.","author":[{"dropping-particle":"","family":"Cai","given":"Jinfa","non-dropping-particle":"","parse-names":false,"suffix":""},{"dropping-particle":"","family":"Ding","given":"Meixia","non-dropping-particle":"","parse-names":false,"suffix":""},{"dropping-particle":"","family":"Wang","given":"Tao","non-dropping-particle":"","parse-names":false,"suffix":""}],"container-title":"Educational Studies in Mathematics","id":"ITEM-2","issue":"2","issued":{"date-parts":[["2014"]]},"page":"265-280","title":"How do exemplary Chinese and U.S. mathematics teachers view instructional coherence?","type":"article-journal","volume":"85"},"uris":["http://www.mendeley.com/documents/?uuid=ab86fd8a-4528-4042-a3b1-b29736ccd254"]}],"mendeley":{"formattedCitation":"[22], [23]","plainTextFormattedCitation":"[22], [23]","previouslyFormattedCitation":"[22], [23]"},"properties":{"noteIndex":0},"schema":"https://github.com/citation-style-language/schema/raw/master/csl-citation.json"}</w:instrText>
      </w:r>
      <w:r w:rsidR="008F29EE">
        <w:rPr>
          <w:lang w:val="en-GB"/>
        </w:rPr>
        <w:fldChar w:fldCharType="separate"/>
      </w:r>
      <w:r w:rsidR="00334846" w:rsidRPr="00334846">
        <w:rPr>
          <w:noProof/>
          <w:lang w:val="en-GB"/>
        </w:rPr>
        <w:t>[22], [23]</w:t>
      </w:r>
      <w:r w:rsidR="008F29EE">
        <w:rPr>
          <w:lang w:val="en-GB"/>
        </w:rPr>
        <w:fldChar w:fldCharType="end"/>
      </w:r>
      <w:r w:rsidRPr="00542E83">
        <w:rPr>
          <w:lang w:val="en-GB"/>
        </w:rPr>
        <w:t>. This shows that teachers have many supporting learning resources, not only books available in schools</w:t>
      </w:r>
      <w:r w:rsidR="008F29EE">
        <w:rPr>
          <w:lang w:val="en-GB"/>
        </w:rPr>
        <w:t xml:space="preserve"> </w:t>
      </w:r>
      <w:r w:rsidR="008F29EE">
        <w:rPr>
          <w:lang w:val="en-GB"/>
        </w:rPr>
        <w:fldChar w:fldCharType="begin" w:fldLock="1"/>
      </w:r>
      <w:r w:rsidR="00CF52C2">
        <w:rPr>
          <w:lang w:val="en-GB"/>
        </w:rPr>
        <w:instrText>ADDIN CSL_CITATION {"citationItems":[{"id":"ITEM-1","itemData":{"author":[{"dropping-particle":"","family":"Wijaya","given":"T.T.","non-dropping-particle":"","parse-names":false,"suffix":""},{"dropping-particle":"","family":"Ying","given":"Zhou","non-dropping-particle":"","parse-names":false,"suffix":""},{"dropping-particle":"","family":"Suan","given":"Lin","non-dropping-particle":"","parse-names":false,"suffix":""}],"container-title":"Journal of Innovative Mathematics Learning","id":"ITEM-1","issue":"1","issued":{"date-parts":[["2020"]]},"page":"15-23","title":"Using Geogebra in Teaching Plane Vector","type":"article-journal","volume":"3"},"uris":["http://www.mendeley.com/documents/?uuid=dc09b30a-4e36-48ea-b13a-4801f13ea972"]},{"id":"ITEM-2","itemData":{"author":[{"dropping-particle":"","family":"Hermita","given":"Neni","non-dropping-particle":"","parse-names":false,"suffix":""},{"dropping-particle":"","family":"Ningsih","given":"Henni Setia","non-dropping-particle":"","parse-names":false,"suffix":""},{"dropping-particle":"","family":"Alim","given":"Jesi Alexander","non-dropping-particle":"","parse-names":false,"suffix":""},{"dropping-particle":"","family":"Alpusari","given":"Mahmud","non-dropping-particle":"","parse-names":false,"suffix":""},{"dropping-particle":"","family":"Putra","given":"Zetra Hainul","non-dropping-particle":"","parse-names":false,"suffix":""},{"dropping-particle":"","family":"Wijaya","given":"Tommy Tanu","non-dropping-particle":"","parse-names":false,"suffix":""}],"container-title":"Solid State Technology","id":"ITEM-2","issue":"1s","issued":{"date-parts":[["2020"]]},"title":"Developing Science Comics for Elementary School Students on Animal Diversity","type":"article-journal","volume":"63"},"uris":["http://www.mendeley.com/documents/?uuid=6123e4db-b383-4290-adee-dc48ab1a4609"]}],"mendeley":{"formattedCitation":"[24], [25]","plainTextFormattedCitation":"[24], [25]","previouslyFormattedCitation":"[24], [25]"},"properties":{"noteIndex":0},"schema":"https://github.com/citation-style-language/schema/raw/master/csl-citation.json"}</w:instrText>
      </w:r>
      <w:r w:rsidR="008F29EE">
        <w:rPr>
          <w:lang w:val="en-GB"/>
        </w:rPr>
        <w:fldChar w:fldCharType="separate"/>
      </w:r>
      <w:r w:rsidR="00334846" w:rsidRPr="00334846">
        <w:rPr>
          <w:noProof/>
          <w:lang w:val="en-GB"/>
        </w:rPr>
        <w:t>[24], [25]</w:t>
      </w:r>
      <w:r w:rsidR="008F29EE">
        <w:rPr>
          <w:lang w:val="en-GB"/>
        </w:rPr>
        <w:fldChar w:fldCharType="end"/>
      </w:r>
      <w:r w:rsidRPr="00542E83">
        <w:rPr>
          <w:lang w:val="en-GB"/>
        </w:rPr>
        <w:t>. A variety of learning sources can add to students' insights so that student</w:t>
      </w:r>
      <w:r w:rsidR="008F29EE">
        <w:rPr>
          <w:lang w:val="en-GB"/>
        </w:rPr>
        <w:t xml:space="preserve">s are interested and not bored </w:t>
      </w:r>
      <w:r w:rsidR="008F29EE">
        <w:rPr>
          <w:lang w:val="en-GB"/>
        </w:rPr>
        <w:fldChar w:fldCharType="begin" w:fldLock="1"/>
      </w:r>
      <w:r w:rsidR="00CF52C2">
        <w:rPr>
          <w:lang w:val="en-GB"/>
        </w:rPr>
        <w:instrText>ADDIN CSL_CITATION {"citationItems":[{"id":"ITEM-1","itemData":{"DOI":"10.1088/1742-6596/1592/1/012079","ISSN":"17426596","abstract":"© Published under licence by IOP Publishing Ltd. According to the observation of schools in Indonesia, the quadratic function graph is a lesson for junior high school students. For it is an abstract concept, students have difficulties to understand and picture out the graph functions. The main purpose of this research is to design a learning media to improve students' learning achievement by using hawgent dynamic mathematic software. The method of this research is research and development method. The target audience of this research were 32 students in experimental class and 32 students in controlled class. The result of this research is the material expert, research and media experts obtaining \"valid\"criteria. This means that the software is better than traditional teaching methods as students are able to easily visualise and generalise the graphical form of the quadratic equation. This automatically increases student's learning achievement and makes them find math interesting.","author":[{"dropping-particle":"","family":"Wijaya","given":"T T","non-dropping-particle":"","parse-names":false,"suffix":""},{"dropping-particle":"","family":"Ying","given":"Z.","non-dropping-particle":"","parse-names":false,"suffix":""},{"dropping-particle":"","family":"Chotimah","given":"S.","non-dropping-particle":"","parse-names":false,"suffix":""},{"dropping-particle":"","family":"Bernard","given":"M.","non-dropping-particle":"","parse-names":false,"suffix":""},{"dropping-particle":"","family":"Zulfah","given":"","non-dropping-particle":"","parse-names":false,"suffix":""},{"dropping-particle":"","family":"Astuti","given":"","non-dropping-particle":"","parse-names":false,"suffix":""}],"container-title":"Journal of Physics: Conference Series","id":"ITEM-1","issue":"1","issued":{"date-parts":[["2020"]]},"title":"Hawgent dynamic mathematic software as mathematics learning media for teaching quadratic functions","type":"paper-conference","volume":"1592"},"uris":["http://www.mendeley.com/documents/?uuid=4f1a1401-b302-372e-af89-e9f19a1afe48"]},{"id":"ITEM-2","itemData":{"DOI":"10.33292/petier.v3i1.56","abstract":"Now, the whole world is facing the coronavirus pandemic. In the meantime, students in China are required to do social distancing and not go to school. This coronavirus pandemic resulted in the use of online learning to teach students. In this research, we will get to know the students’ learning attitude towards online learning during the coronavirus pandemic. The sample population for this research are students in West Java, Indonesia. The data will be collected by using questionnaires and there was a total of 16 questionnaires that is collected for this research. The result of this research shows that online learning during this coronavirus pandemic is not very effective. Also, the students’ learning interest towards online learning is also very low. Based on the interview done on students and teachers, most of them stated that there are various factors that can affect online learning in China such as learning environment, internet and etc. The suggestion that is given in this research is that aside from online classes, teachers can also use video learning media that are used by developed countries so that it can solve the bad internet problem. The result of this research hopefully, can become a reference to improving a more effective learning media that can be used during the coronavirus pandemic in Indonesia.","author":[{"dropping-particle":"","family":"Wijaya","given":"Tommy Tanu","non-dropping-particle":"","parse-names":false,"suffix":""},{"dropping-particle":"","family":"Ying","given":"Zhou","non-dropping-particle":"","parse-names":false,"suffix":""},{"dropping-particle":"","family":"Purnama","given":"Aditya","non-dropping-particle":"","parse-names":false,"suffix":""},{"dropping-particle":"","family":"Hermita","given":"Neni","non-dropping-particle":"","parse-names":false,"suffix":""}],"container-title":"Psychology, Evaluation, and Technology in Educational Research","id":"ITEM-2","issue":"1","issued":{"date-parts":[["2020"]]},"page":"17-25","title":"Indonesian students’ learning attitude towards online learning during the coronavirus pandemic","type":"article-journal","volume":"3"},"uris":["http://www.mendeley.com/documents/?uuid=44a50558-8336-4244-a334-41774b9eb325"]},{"id":"ITEM-3","itemData":{"DOI":"10.3991/ijet.v15i10.13099","ISSN":"18630383","abstract":"© 2020 Kassel University Press GmbH. Learning media is a help assistant for students to understand mathematics concept. Sometimes textbooks are very boring and not interesting therefore an innovation using a technology based media is needed. This research aims to make a learning media to improve students' ability on the topic of trigonometry. The learning process will use Hawgent Dynamic Mathematics Software as a mathematics learning media. The problems that we are going to find out through this research are 1) can developing a learning media such as Hawgent Dynamic Mathematics Software improve students' mathematical ability? and 2) did the student show a positive response in the learning process when using hawgent dynamic mathematic software? This research will use the ADDIE method. The target of this research are 30 high school students. The instruments use for this research are the cognitive test, interview and observation. According to the research result, there is an improvement in the students' mathematical ability for trigonometry when using hawgent dynamic mathematic software. This means that the implementation of Hawgent Dynamic Mathematics Software in the learning process is successful. Students are more active and enthusiastic in class. In conclusion, developing Hawgent Dynamic Mathematics Software can improve the students' mathematical ability in trigonometry as students' show positive response when the learning process is helped by hawgent.","author":[{"dropping-particle":"","family":"Wijaya","given":"T.T.","non-dropping-particle":"","parse-names":false,"suffix":""},{"dropping-particle":"","family":"Ying","given":"Z.","non-dropping-particle":"","parse-names":false,"suffix":""},{"dropping-particle":"","family":"Purnama","given":"A.","non-dropping-particle":"","parse-names":false,"suffix":""}],"container-title":"International Journal of Emerging Technologies in Learning","id":"ITEM-3","issue":"10","issued":{"date-parts":[["2020"]]},"title":"Using Hawgent dynamic mathematics software in teaching trigonometry","type":"article-journal","volume":"15"},"uris":["http://www.mendeley.com/documents/?uuid=0adfa55d-26c3-3202-9bba-80f4f859acb1"]}],"mendeley":{"formattedCitation":"[26]–[28]","plainTextFormattedCitation":"[26]–[28]","previouslyFormattedCitation":"[26]–[28]"},"properties":{"noteIndex":0},"schema":"https://github.com/citation-style-language/schema/raw/master/csl-citation.json"}</w:instrText>
      </w:r>
      <w:r w:rsidR="008F29EE">
        <w:rPr>
          <w:lang w:val="en-GB"/>
        </w:rPr>
        <w:fldChar w:fldCharType="separate"/>
      </w:r>
      <w:r w:rsidR="00334846" w:rsidRPr="00334846">
        <w:rPr>
          <w:noProof/>
          <w:lang w:val="en-GB"/>
        </w:rPr>
        <w:t>[26]–[28]</w:t>
      </w:r>
      <w:r w:rsidR="008F29EE">
        <w:rPr>
          <w:lang w:val="en-GB"/>
        </w:rPr>
        <w:fldChar w:fldCharType="end"/>
      </w:r>
      <w:r w:rsidRPr="00542E83">
        <w:rPr>
          <w:lang w:val="en-GB"/>
        </w:rPr>
        <w:t>. There are 71% of teachers who have an obligation before teaching that they have to make a planning program. The essence of programming is to design programs according to student characte</w:t>
      </w:r>
      <w:r w:rsidR="008F29EE">
        <w:rPr>
          <w:lang w:val="en-GB"/>
        </w:rPr>
        <w:t xml:space="preserve">ristics and learning materials </w:t>
      </w:r>
      <w:r w:rsidR="008F29EE">
        <w:rPr>
          <w:lang w:val="en-GB"/>
        </w:rPr>
        <w:fldChar w:fldCharType="begin" w:fldLock="1"/>
      </w:r>
      <w:r w:rsidR="00CF52C2">
        <w:rPr>
          <w:lang w:val="en-GB"/>
        </w:rPr>
        <w:instrText>ADDIN CSL_CITATION {"citationItems":[{"id":"ITEM-1","itemData":{"DOI":"10.1007/s11092-013-9165-y","ISSN":"18748597","abstract":"Teacher education institutions conduct information and communications technology (ICT) courses to prepare preservice teachers (or initial teacher education candidates) to support their teaching practice with appropriate ICT tools. ICT course evaluations based on preservice teachers' perception of course experiences are limited in indicating the kinds of ICT integration knowledge or technological pedagogical content knowledge (TPACK) preservice teachers have gained throughout the course. Preservice teachers' ICT course experiences was found to influence their intentions to integrate ICT but its influence on their TPACK perceptions, if better understood, can inform teacher education institutions about the design of ICT courses. This study describes the design and validation of an ICT course evaluation instrument that examines preservice teachers' perceptions of ICT course experiences and TPACK. Hierarchical regression analysis was performed on survey results collected from a graduating cohort of 869 Singapore preservice teachers who had undergone a compulsory ICT course during their teacher training program. These preservice teachers were being prepared to teach the different subject areas at primary, secondary, and junior colleges (or postsecondary institutions for 17-19 year olds) in Singapore. The regression model showed that preservice teachers' perceived TPACK was first influenced by their perceptions of course experiences that supported the development of intermediary TPACK knowledge components such as technological knowledge and technological pedagogical knowledge. The methodological implications for the design of ICT course evaluation surveys and the practical applications of survey results to the refinement of ICT course curriculum are discussed. © 2013 Springer Science+Business Media New York.","author":[{"dropping-particle":"","family":"Koh","given":"Joyce Hwee Ling","non-dropping-particle":"","parse-names":false,"suffix":""},{"dropping-particle":"","family":"Woo","given":"Huay Lit","non-dropping-particle":"","parse-names":false,"suffix":""},{"dropping-particle":"","family":"Lim","given":"Wei Ying","non-dropping-particle":"","parse-names":false,"suffix":""}],"container-title":"Educational Assessment, Evaluation and Accountability","id":"ITEM-1","issue":"4","issued":{"date-parts":[["2013"]]},"page":"321-339","title":"Understanding the relationship between Singapore preservice teachers' ICT course experiences and technological pedagogical content knowledge (TPACK) through ICT course evaluation","type":"article-journal","volume":"25"},"uris":["http://www.mendeley.com/documents/?uuid=3cbad1b7-9b29-421e-bd65-324f31673955"]},{"id":"ITEM-2","itemData":{"DOI":"10.1111/bjet.12565","ISSN":"14678535","abstract":"The purpose of this study was to examine preservice teachers' perceptions of the support their teacher education programs provide for developing their technological pedagogical content knowledge (TPACK). The research was conducted with 215 preservice teachers in the last year of teacher education programs and teaching certificate programs in three universities in Turkey. Data sources were the synthesis of qualitative evidence (SQD) scale that was validated in the Turkish context as part of this study and the TPACK-practical scale. The strategies investigated in the SQD-model included: using teacher educators as role models; reflecting on the role of technology in education; learning how to use technology by design; collaboration with peers; scaffolding authentic technology experiences; and providing continuous feedback. The linear regression analysis revealed a positive relation between teacher education strategies and preservice teachers' TPACK. Reflection and teacher educators' as role models were the most frequently used teacher education strategies in teacher education programs included in this study. Results provided recommendations for further research on the connection between the teacher education strategies and the development of preservice teachers' TPACK in teacher education programs.","author":[{"dropping-particle":"","family":"Baran","given":"Evrim","non-dropping-particle":"","parse-names":false,"suffix":""},{"dropping-particle":"","family":"Canbazoglu Bilici","given":"Sedef","non-dropping-particle":"","parse-names":false,"suffix":""},{"dropping-particle":"","family":"Albayrak Sari","given":"Aylin","non-dropping-particle":"","parse-names":false,"suffix":""},{"dropping-particle":"","family":"Tondeur","given":"Jo","non-dropping-particle":"","parse-names":false,"suffix":""}],"container-title":"British Journal of Educational Technology","id":"ITEM-2","issue":"1","issued":{"date-parts":[["2019"]]},"page":"357-370","title":"Investigating the impact of teacher education strategies on preservice teachers' TPACK","type":"article-journal","volume":"50"},"uris":["http://www.mendeley.com/documents/?uuid=9cdfcba1-2386-4baf-8dc0-bf5e2c7937ea"]}],"mendeley":{"formattedCitation":"[29], [30]","plainTextFormattedCitation":"[29], [30]","previouslyFormattedCitation":"[29], [30]"},"properties":{"noteIndex":0},"schema":"https://github.com/citation-style-language/schema/raw/master/csl-citation.json"}</w:instrText>
      </w:r>
      <w:r w:rsidR="008F29EE">
        <w:rPr>
          <w:lang w:val="en-GB"/>
        </w:rPr>
        <w:fldChar w:fldCharType="separate"/>
      </w:r>
      <w:r w:rsidR="00334846" w:rsidRPr="00334846">
        <w:rPr>
          <w:noProof/>
          <w:lang w:val="en-GB"/>
        </w:rPr>
        <w:t>[29], [30]</w:t>
      </w:r>
      <w:r w:rsidR="008F29EE">
        <w:rPr>
          <w:lang w:val="en-GB"/>
        </w:rPr>
        <w:fldChar w:fldCharType="end"/>
      </w:r>
      <w:r w:rsidRPr="00542E83">
        <w:rPr>
          <w:lang w:val="en-GB"/>
        </w:rPr>
        <w:t>. 81% of teachers always provide subject matter according to the latest books according to the curriculum</w:t>
      </w:r>
      <w:r w:rsidR="008F29EE">
        <w:rPr>
          <w:lang w:val="en-GB"/>
        </w:rPr>
        <w:t xml:space="preserve"> </w:t>
      </w:r>
      <w:r w:rsidR="008F29EE">
        <w:rPr>
          <w:lang w:val="en-GB"/>
        </w:rPr>
        <w:fldChar w:fldCharType="begin" w:fldLock="1"/>
      </w:r>
      <w:r w:rsidR="00CF52C2">
        <w:rPr>
          <w:lang w:val="en-GB"/>
        </w:rPr>
        <w:instrText>ADDIN CSL_CITATION {"citationItems":[{"id":"ITEM-1","itemData":{"author":[{"dropping-particle":"","family":"Fan","given":"Lianghuo","non-dropping-particle":"","parse-names":false,"suffix":""},{"dropping-particle":"","family":"S. G.","given":"Kaeley","non-dropping-particle":"","parse-names":false,"suffix":""}],"container-title":"Mid-Western Educational Researcher","id":"ITEM-1","issue":"4","issued":{"date-parts":[["2000"]]},"title":"The influence of textbooks on teaching strategies: An empirical study","type":"article-journal","volume":"13"},"uris":["http://www.mendeley.com/documents/?uuid=d9ba369e-5a72-483d-98f4-adc7e3112773"]}],"mendeley":{"formattedCitation":"[31]","plainTextFormattedCitation":"[31]","previouslyFormattedCitation":"[31]"},"properties":{"noteIndex":0},"schema":"https://github.com/citation-style-language/schema/raw/master/csl-citation.json"}</w:instrText>
      </w:r>
      <w:r w:rsidR="008F29EE">
        <w:rPr>
          <w:lang w:val="en-GB"/>
        </w:rPr>
        <w:fldChar w:fldCharType="separate"/>
      </w:r>
      <w:r w:rsidR="00334846" w:rsidRPr="00334846">
        <w:rPr>
          <w:noProof/>
          <w:lang w:val="en-GB"/>
        </w:rPr>
        <w:t>[31]</w:t>
      </w:r>
      <w:r w:rsidR="008F29EE">
        <w:rPr>
          <w:lang w:val="en-GB"/>
        </w:rPr>
        <w:fldChar w:fldCharType="end"/>
      </w:r>
      <w:r w:rsidRPr="00542E83">
        <w:rPr>
          <w:lang w:val="en-GB"/>
        </w:rPr>
        <w:t xml:space="preserve">. Curriculum development in accordance with the </w:t>
      </w:r>
      <w:r w:rsidRPr="00542E83">
        <w:rPr>
          <w:lang w:val="en-GB"/>
        </w:rPr>
        <w:lastRenderedPageBreak/>
        <w:t xml:space="preserve">times. It is proven that the 2013 Curriculum can improve </w:t>
      </w:r>
      <w:r w:rsidR="008F29EE">
        <w:rPr>
          <w:lang w:val="en-GB"/>
        </w:rPr>
        <w:t xml:space="preserve">skills, attitudes and knowledge </w:t>
      </w:r>
      <w:r w:rsidR="008F29EE">
        <w:rPr>
          <w:lang w:val="en-GB"/>
        </w:rPr>
        <w:fldChar w:fldCharType="begin" w:fldLock="1"/>
      </w:r>
      <w:r w:rsidR="00CF52C2">
        <w:rPr>
          <w:lang w:val="en-GB"/>
        </w:rPr>
        <w:instrText>ADDIN CSL_CITATION {"citationItems":[{"id":"ITEM-1","itemData":{"DOI":"10.15294/jpii.v7i1.12257","ISSN":"20894392","abstract":"This study sought to check and evaluate whether or not thought experiments presented in the Indonesian physics textbooks can be used as tools to transfer scientific knowledge. This was a descriptive study using Indonesian physics textbooks as the primary sources of data. In this study, we analyzed thirty (30) physics textbooks from Grades 10 to 12 which are widely used both by teachers and students. The results showed that majority of physics textbooks did not mention about thought experiments. Only 6 physics textbooks presented thought experiments at a satisfactory level. The number of physics textbooks that described thought experiments in fair and poor levels are 9 and 5 respectively. The study concludes that Indonesian physics textbooks published from 2009 to 2017 generally lack thought experiments. Many authors of these Indonesian physics textbooks ignored or inadequately present thought experiments. Moreover, 70% of thought experiments mentioned in the physics textbooks were in the fair and poor levels. So, in general, thought experiments presented in the Indonesian physics textbooks cannot be used as an introduction in transferring scientific knowledge to science students.","author":[{"dropping-particle":"","family":"Bancong","given":"Hartono","non-dropping-particle":"","parse-names":false,"suffix":""},{"dropping-particle":"","family":"Song","given":"Jinwoong","non-dropping-particle":"","parse-names":false,"suffix":""}],"container-title":"Jurnal Pendidikan IPA Indonesia","id":"ITEM-1","issue":"1","issued":{"date-parts":[["2018"]]},"page":"25-33","title":"Do physics textbooks present the ideas of thought experiments?: A case in Indonesia","type":"article-journal","volume":"7"},"uris":["http://www.mendeley.com/documents/?uuid=a407c6f6-6adc-4d4b-9192-381434078d13"]}],"mendeley":{"formattedCitation":"[32]","plainTextFormattedCitation":"[32]","previouslyFormattedCitation":"[32]"},"properties":{"noteIndex":0},"schema":"https://github.com/citation-style-language/schema/raw/master/csl-citation.json"}</w:instrText>
      </w:r>
      <w:r w:rsidR="008F29EE">
        <w:rPr>
          <w:lang w:val="en-GB"/>
        </w:rPr>
        <w:fldChar w:fldCharType="separate"/>
      </w:r>
      <w:r w:rsidR="00334846" w:rsidRPr="00334846">
        <w:rPr>
          <w:noProof/>
          <w:lang w:val="en-GB"/>
        </w:rPr>
        <w:t>[32]</w:t>
      </w:r>
      <w:r w:rsidR="008F29EE">
        <w:rPr>
          <w:lang w:val="en-GB"/>
        </w:rPr>
        <w:fldChar w:fldCharType="end"/>
      </w:r>
      <w:r w:rsidRPr="00542E83">
        <w:rPr>
          <w:lang w:val="en-GB"/>
        </w:rPr>
        <w:t>.</w:t>
      </w:r>
    </w:p>
    <w:p w14:paraId="5233F618" w14:textId="324E6706" w:rsidR="00542E83" w:rsidRPr="00542E83" w:rsidRDefault="00542E83" w:rsidP="00542E83">
      <w:pPr>
        <w:pStyle w:val="BodyText"/>
        <w:spacing w:before="117"/>
        <w:ind w:left="709" w:right="1109" w:firstLine="283"/>
        <w:rPr>
          <w:lang w:val="en-GB"/>
        </w:rPr>
      </w:pPr>
      <w:r w:rsidRPr="00542E83">
        <w:rPr>
          <w:lang w:val="en-GB"/>
        </w:rPr>
        <w:t xml:space="preserve">Most of the teachers have applied active learning media from training at the </w:t>
      </w:r>
      <w:r w:rsidR="00351C08">
        <w:rPr>
          <w:lang w:val="en-GB"/>
        </w:rPr>
        <w:t>CoP</w:t>
      </w:r>
      <w:r w:rsidRPr="00542E83">
        <w:rPr>
          <w:lang w:val="en-GB"/>
        </w:rPr>
        <w:t xml:space="preserve"> forum. Active learning can increase learning</w:t>
      </w:r>
      <w:r w:rsidR="008F29EE">
        <w:rPr>
          <w:lang w:val="en-GB"/>
        </w:rPr>
        <w:t xml:space="preserve"> activeness and creativity</w:t>
      </w:r>
      <w:r w:rsidRPr="00542E83">
        <w:rPr>
          <w:lang w:val="en-GB"/>
        </w:rPr>
        <w:t>. Learning does not escape the assessment of students. Assessment is objective so that student's ability is well measured. As 88% of teachers have provided assessments in accordance with active learning and student abilities. There are obstacles in assessing learning outcomes, the teacher experiences several problems related to the number of assessment elements, the complexity of the assessment, making assessment instruments, implementing the assessment, and reporting the results of the assessment. Based on these findings, it is suggested that the assessment of student learning outcomes be simplified and still meet the assessment principles, such as comprehensive, objective, transparent</w:t>
      </w:r>
      <w:r w:rsidR="008F29EE">
        <w:rPr>
          <w:lang w:val="en-GB"/>
        </w:rPr>
        <w:t>, and accountable</w:t>
      </w:r>
      <w:r w:rsidRPr="00542E83">
        <w:rPr>
          <w:lang w:val="en-GB"/>
        </w:rPr>
        <w:t xml:space="preserve">. There are 24% of the local </w:t>
      </w:r>
      <w:r w:rsidR="00351C08">
        <w:rPr>
          <w:lang w:val="en-GB"/>
        </w:rPr>
        <w:t>CoP</w:t>
      </w:r>
      <w:r w:rsidRPr="00542E83">
        <w:rPr>
          <w:lang w:val="en-GB"/>
        </w:rPr>
        <w:t xml:space="preserve"> program always </w:t>
      </w:r>
      <w:r w:rsidR="00351C08" w:rsidRPr="00542E83">
        <w:rPr>
          <w:lang w:val="en-GB"/>
        </w:rPr>
        <w:t>analysing</w:t>
      </w:r>
      <w:r w:rsidRPr="00542E83">
        <w:rPr>
          <w:lang w:val="en-GB"/>
        </w:rPr>
        <w:t xml:space="preserve"> learning evaluation questions before being tested. And 53% have done an analysis of evaluation questions. Question analysis is useful for getting quality items to improve student learning o</w:t>
      </w:r>
      <w:r w:rsidR="008F29EE">
        <w:rPr>
          <w:lang w:val="en-GB"/>
        </w:rPr>
        <w:t>utcomes</w:t>
      </w:r>
      <w:r w:rsidRPr="00542E83">
        <w:rPr>
          <w:lang w:val="en-GB"/>
        </w:rPr>
        <w:t>.</w:t>
      </w:r>
    </w:p>
    <w:p w14:paraId="2E74D2F5" w14:textId="7786E0DD" w:rsidR="00542E83" w:rsidRDefault="00542E83" w:rsidP="00542E83">
      <w:pPr>
        <w:pStyle w:val="BodyText"/>
        <w:spacing w:before="117"/>
        <w:ind w:left="709" w:right="1109" w:firstLine="283"/>
        <w:rPr>
          <w:lang w:val="en-GB"/>
        </w:rPr>
      </w:pPr>
      <w:r w:rsidRPr="00542E83">
        <w:rPr>
          <w:lang w:val="en-GB"/>
        </w:rPr>
        <w:t xml:space="preserve">In general, </w:t>
      </w:r>
      <w:r w:rsidR="008D547E">
        <w:rPr>
          <w:lang w:val="en-GB"/>
        </w:rPr>
        <w:t>CoP</w:t>
      </w:r>
      <w:r w:rsidRPr="00542E83">
        <w:rPr>
          <w:lang w:val="en-GB"/>
        </w:rPr>
        <w:t xml:space="preserve"> is a very important role in improving teacher performance. And in the end, it will lead to improving the quality of education in Indonesia. The research results of </w:t>
      </w:r>
      <w:r w:rsidR="008F29EE">
        <w:rPr>
          <w:lang w:val="en-GB"/>
        </w:rPr>
        <w:t xml:space="preserve">Teng </w:t>
      </w:r>
      <w:r w:rsidR="008F29EE">
        <w:rPr>
          <w:lang w:val="en-GB"/>
        </w:rPr>
        <w:fldChar w:fldCharType="begin" w:fldLock="1"/>
      </w:r>
      <w:r w:rsidR="00CF52C2">
        <w:rPr>
          <w:lang w:val="en-GB"/>
        </w:rPr>
        <w:instrText>ADDIN CSL_CITATION {"citationItems":[{"id":"ITEM-1","itemData":{"DOI":"10.1007/978-981-13-0728-7","ISBN":"9789811307287","abstract":"This book discusses the importance of autonomy, agency, and identity in teaching and learning English as a foreign language, all of which are central themes in the educational domain. By linking theory with practice to appeal to researchers as well as classroom practitioners, it provides an overview of the theoretical constructs of autonomy, agency, and identity along with empirical studies that explore these constructs through life stories as told by English teachers and students. Key features include: New ideas to inspire professionals involved in foreign language education. Up-to-date information to showcase for English language educators how autonomy, agency, and identity can be conceptualized across various institutional, sociocultural, and political contexts. A concise yet comprehensive review of the theoretical and practical issues characterizing English foreign language education today.","author":[{"dropping-particle":"","family":"Teng","given":"Feng","non-dropping-particle":"","parse-names":false,"suffix":""}],"container-title":"Autonomy, Agency, and Identity in Teaching and Learning English as a Foreign Language","id":"ITEM-1","issued":{"date-parts":[["2018"]]},"page":"1-132","title":"Autonomy, agency, and identity in teaching and learning english as a foreign language","type":"article-journal","volume":"2019"},"uris":["http://www.mendeley.com/documents/?uuid=b3d764a1-18f8-4f8a-a49a-2687c72de56e"]}],"mendeley":{"formattedCitation":"[33]","plainTextFormattedCitation":"[33]","previouslyFormattedCitation":"[33]"},"properties":{"noteIndex":0},"schema":"https://github.com/citation-style-language/schema/raw/master/csl-citation.json"}</w:instrText>
      </w:r>
      <w:r w:rsidR="008F29EE">
        <w:rPr>
          <w:lang w:val="en-GB"/>
        </w:rPr>
        <w:fldChar w:fldCharType="separate"/>
      </w:r>
      <w:r w:rsidR="00334846" w:rsidRPr="00334846">
        <w:rPr>
          <w:noProof/>
          <w:lang w:val="en-GB"/>
        </w:rPr>
        <w:t>[33]</w:t>
      </w:r>
      <w:r w:rsidR="008F29EE">
        <w:rPr>
          <w:lang w:val="en-GB"/>
        </w:rPr>
        <w:fldChar w:fldCharType="end"/>
      </w:r>
      <w:r w:rsidR="008F29EE">
        <w:rPr>
          <w:lang w:val="en-GB"/>
        </w:rPr>
        <w:t xml:space="preserve"> </w:t>
      </w:r>
      <w:r w:rsidRPr="00542E83">
        <w:rPr>
          <w:lang w:val="en-GB"/>
        </w:rPr>
        <w:t>also explain that the</w:t>
      </w:r>
      <w:r w:rsidR="00351C08">
        <w:rPr>
          <w:lang w:val="en-GB"/>
        </w:rPr>
        <w:t xml:space="preserve"> </w:t>
      </w:r>
      <w:r w:rsidRPr="00542E83">
        <w:rPr>
          <w:lang w:val="en-GB"/>
        </w:rPr>
        <w:t>CoP allows teachers to expand their teaching and research capacities, in addition to creating a shared commitment.</w:t>
      </w:r>
    </w:p>
    <w:p w14:paraId="52CDCB7B" w14:textId="77777777" w:rsidR="00257AC9" w:rsidRDefault="00257AC9">
      <w:pPr>
        <w:pStyle w:val="BodyText"/>
        <w:spacing w:before="1"/>
        <w:ind w:left="681" w:right="1128" w:firstLine="283"/>
      </w:pPr>
    </w:p>
    <w:p w14:paraId="3C041CA7" w14:textId="77777777" w:rsidR="00257AC9" w:rsidRDefault="00257AC9">
      <w:pPr>
        <w:pStyle w:val="Heading1"/>
        <w:spacing w:before="1"/>
      </w:pPr>
      <w:bookmarkStart w:id="11" w:name="DISCUSSION"/>
      <w:bookmarkStart w:id="12" w:name="CONCLUSION"/>
      <w:bookmarkEnd w:id="11"/>
      <w:bookmarkEnd w:id="12"/>
    </w:p>
    <w:p w14:paraId="04CC0CE3" w14:textId="77777777" w:rsidR="009A06C2" w:rsidRDefault="00112262">
      <w:pPr>
        <w:pStyle w:val="Heading1"/>
        <w:spacing w:before="1"/>
      </w:pPr>
      <w:r>
        <w:t>CONCLUSION</w:t>
      </w:r>
    </w:p>
    <w:p w14:paraId="23170841" w14:textId="0525C79E" w:rsidR="00542E83" w:rsidRDefault="00542E83">
      <w:pPr>
        <w:pStyle w:val="BodyText"/>
        <w:spacing w:before="119"/>
        <w:ind w:left="681" w:right="1127" w:firstLine="283"/>
      </w:pPr>
      <w:r w:rsidRPr="00542E83">
        <w:t>Based on the results and discussion, it can be concluded that there are several roles of</w:t>
      </w:r>
      <w:r w:rsidR="00351C08">
        <w:t xml:space="preserve"> CoP</w:t>
      </w:r>
      <w:r w:rsidRPr="00542E83">
        <w:t xml:space="preserve"> activities in improving teacher performance, among others, through </w:t>
      </w:r>
      <w:r w:rsidR="00351C08">
        <w:t>CoP</w:t>
      </w:r>
      <w:r w:rsidRPr="00542E83">
        <w:t xml:space="preserve"> teachers can discuss in constructing learning tools, teachers get to construct lesson plans for active learning based on analysis of student needs, learning materials are arranged based on various learning sources, using learning media active, analyzing the evaluation questions and carrying out assessments according to active learning and students’ abilities.</w:t>
      </w:r>
    </w:p>
    <w:p w14:paraId="0D3530A7" w14:textId="77777777" w:rsidR="00487DFB" w:rsidRDefault="00487DFB">
      <w:pPr>
        <w:pStyle w:val="BodyText"/>
        <w:spacing w:before="119"/>
        <w:ind w:left="681" w:right="1127" w:firstLine="283"/>
      </w:pPr>
    </w:p>
    <w:p w14:paraId="74B3FB1E" w14:textId="21B76A45" w:rsidR="00487DFB" w:rsidRDefault="00487DFB" w:rsidP="00487DFB">
      <w:pPr>
        <w:pStyle w:val="Heading1"/>
        <w:spacing w:before="1"/>
      </w:pPr>
      <w:r>
        <w:t>ACKNOWLEDGMENTS</w:t>
      </w:r>
    </w:p>
    <w:p w14:paraId="37B59886" w14:textId="50CD6EB2" w:rsidR="00487DFB" w:rsidRDefault="00487DFB" w:rsidP="00487DFB">
      <w:pPr>
        <w:pStyle w:val="BodyText"/>
        <w:spacing w:before="119"/>
        <w:ind w:left="681" w:right="1127" w:firstLine="283"/>
      </w:pPr>
      <w:r>
        <w:t xml:space="preserve">The Authors thank to the Research and Community Service Institute (LPPM) of </w:t>
      </w:r>
      <w:proofErr w:type="spellStart"/>
      <w:r>
        <w:t>Universitas</w:t>
      </w:r>
      <w:proofErr w:type="spellEnd"/>
      <w:r>
        <w:t xml:space="preserve"> Riau for this funding this research under the grand of DIPA LPPM 2020</w:t>
      </w:r>
      <w:r w:rsidRPr="00542E83">
        <w:t>.</w:t>
      </w:r>
    </w:p>
    <w:p w14:paraId="48ED802E" w14:textId="77777777" w:rsidR="00487DFB" w:rsidRDefault="00487DFB">
      <w:pPr>
        <w:pStyle w:val="BodyText"/>
        <w:spacing w:before="119"/>
        <w:ind w:left="681" w:right="1127" w:firstLine="283"/>
      </w:pPr>
    </w:p>
    <w:p w14:paraId="45A46A66" w14:textId="77777777" w:rsidR="009A06C2" w:rsidRDefault="00112262">
      <w:pPr>
        <w:pStyle w:val="Heading1"/>
        <w:spacing w:before="189"/>
        <w:ind w:right="2665"/>
      </w:pPr>
      <w:bookmarkStart w:id="13" w:name="REFERENCES"/>
      <w:bookmarkEnd w:id="13"/>
      <w:r>
        <w:t>REFERENCES</w:t>
      </w:r>
    </w:p>
    <w:p w14:paraId="4F929B27" w14:textId="77777777" w:rsidR="00CF52C2" w:rsidRPr="00CF52C2" w:rsidRDefault="00CF52C2" w:rsidP="00CF52C2">
      <w:pPr>
        <w:adjustRightInd w:val="0"/>
        <w:spacing w:before="120"/>
        <w:ind w:left="990" w:right="1170"/>
        <w:jc w:val="both"/>
        <w:rPr>
          <w:rFonts w:cs="Times New Roman"/>
          <w:noProof/>
          <w:sz w:val="18"/>
          <w:szCs w:val="24"/>
        </w:rPr>
      </w:pPr>
      <w:r>
        <w:fldChar w:fldCharType="begin" w:fldLock="1"/>
      </w:r>
      <w:r>
        <w:instrText xml:space="preserve">ADDIN Mendeley Bibliography CSL_BIBLIOGRAPHY </w:instrText>
      </w:r>
      <w:r>
        <w:fldChar w:fldCharType="separate"/>
      </w:r>
      <w:r w:rsidRPr="00CF52C2">
        <w:rPr>
          <w:rFonts w:cs="Times New Roman"/>
          <w:noProof/>
          <w:sz w:val="18"/>
          <w:szCs w:val="24"/>
        </w:rPr>
        <w:t>[1]</w:t>
      </w:r>
      <w:r w:rsidRPr="00CF52C2">
        <w:rPr>
          <w:rFonts w:cs="Times New Roman"/>
          <w:noProof/>
          <w:sz w:val="18"/>
          <w:szCs w:val="24"/>
        </w:rPr>
        <w:tab/>
        <w:t xml:space="preserve">M. Bernard and S. Chotimah, “Improve student mathematical reasoning ability with open-ended approach using VBA for powerpoint,” </w:t>
      </w:r>
      <w:r w:rsidRPr="00CF52C2">
        <w:rPr>
          <w:rFonts w:cs="Times New Roman"/>
          <w:i/>
          <w:iCs/>
          <w:noProof/>
          <w:sz w:val="18"/>
          <w:szCs w:val="24"/>
        </w:rPr>
        <w:t>AIP Conf. Proc.</w:t>
      </w:r>
      <w:r w:rsidRPr="00CF52C2">
        <w:rPr>
          <w:rFonts w:cs="Times New Roman"/>
          <w:noProof/>
          <w:sz w:val="18"/>
          <w:szCs w:val="24"/>
        </w:rPr>
        <w:t>, vol. 2014, no. September, 2018.</w:t>
      </w:r>
    </w:p>
    <w:p w14:paraId="465707AD"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w:t>
      </w:r>
      <w:r w:rsidRPr="00CF52C2">
        <w:rPr>
          <w:rFonts w:cs="Times New Roman"/>
          <w:noProof/>
          <w:sz w:val="18"/>
          <w:szCs w:val="24"/>
        </w:rPr>
        <w:tab/>
        <w:t xml:space="preserve">S. I. Kulsum, W. Hidayat, T. T. Wijaya, and J. Kumala, “Analysis on high school students’ mathematical creative thinking skills on the topic of sets,” </w:t>
      </w:r>
      <w:r w:rsidRPr="00CF52C2">
        <w:rPr>
          <w:rFonts w:cs="Times New Roman"/>
          <w:i/>
          <w:iCs/>
          <w:noProof/>
          <w:sz w:val="18"/>
          <w:szCs w:val="24"/>
        </w:rPr>
        <w:t>J. Cendekia  J. Pendidik. Mat.</w:t>
      </w:r>
      <w:r w:rsidRPr="00CF52C2">
        <w:rPr>
          <w:rFonts w:cs="Times New Roman"/>
          <w:noProof/>
          <w:sz w:val="18"/>
          <w:szCs w:val="24"/>
        </w:rPr>
        <w:t>, vol. 03, no. 02, pp. 431–436, 2019.</w:t>
      </w:r>
    </w:p>
    <w:p w14:paraId="13CE4FE4"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[3]</w:t>
      </w:r>
      <w:r w:rsidRPr="00CF52C2">
        <w:rPr>
          <w:rFonts w:cs="Times New Roman"/>
          <w:noProof/>
          <w:sz w:val="18"/>
          <w:szCs w:val="24"/>
        </w:rPr>
        <w:tab/>
        <w:t xml:space="preserve">Y. J. Chang, T. Y. Wang, S. F. Chen, and R. H. Liao, “Student Engineers as Agents of Change: Combining Social Inclusion in the Professional Development of Electrical and Computer Engineering Students,” </w:t>
      </w:r>
      <w:r w:rsidRPr="00CF52C2">
        <w:rPr>
          <w:rFonts w:cs="Times New Roman"/>
          <w:i/>
          <w:iCs/>
          <w:noProof/>
          <w:sz w:val="18"/>
          <w:szCs w:val="24"/>
        </w:rPr>
        <w:t>Syst. Pract. Action Res.</w:t>
      </w:r>
      <w:r w:rsidRPr="00CF52C2">
        <w:rPr>
          <w:rFonts w:cs="Times New Roman"/>
          <w:noProof/>
          <w:sz w:val="18"/>
          <w:szCs w:val="24"/>
        </w:rPr>
        <w:t>, vol. 24, no. 3, pp. 237–245, 2011.</w:t>
      </w:r>
    </w:p>
    <w:p w14:paraId="6CDBA1B6"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[4]</w:t>
      </w:r>
      <w:r w:rsidRPr="00CF52C2">
        <w:rPr>
          <w:rFonts w:cs="Times New Roman"/>
          <w:noProof/>
          <w:sz w:val="18"/>
          <w:szCs w:val="24"/>
        </w:rPr>
        <w:tab/>
        <w:t xml:space="preserve">M. W. Olofson, M. J. C. Swallow, and M. D. Neumann, “TPACKing: A constructivist framing of TPACK to analyze teachers’ construction of knowledge,” </w:t>
      </w:r>
      <w:r w:rsidRPr="00CF52C2">
        <w:rPr>
          <w:rFonts w:cs="Times New Roman"/>
          <w:i/>
          <w:iCs/>
          <w:noProof/>
          <w:sz w:val="18"/>
          <w:szCs w:val="24"/>
        </w:rPr>
        <w:t>Comput. Educ.</w:t>
      </w:r>
      <w:r w:rsidRPr="00CF52C2">
        <w:rPr>
          <w:rFonts w:cs="Times New Roman"/>
          <w:noProof/>
          <w:sz w:val="18"/>
          <w:szCs w:val="24"/>
        </w:rPr>
        <w:t>, vol. 95, pp. 188–201, 2016.</w:t>
      </w:r>
    </w:p>
    <w:p w14:paraId="40D7B2B0"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[5]</w:t>
      </w:r>
      <w:r w:rsidRPr="00CF52C2">
        <w:rPr>
          <w:rFonts w:cs="Times New Roman"/>
          <w:noProof/>
          <w:sz w:val="18"/>
          <w:szCs w:val="24"/>
        </w:rPr>
        <w:tab/>
        <w:t xml:space="preserve">L. Fan, Y. Zhu, and Z. Miao, “Textbook research in mathematics education: Development status and directions,” </w:t>
      </w:r>
      <w:r w:rsidRPr="00CF52C2">
        <w:rPr>
          <w:rFonts w:cs="Times New Roman"/>
          <w:i/>
          <w:iCs/>
          <w:noProof/>
          <w:sz w:val="18"/>
          <w:szCs w:val="24"/>
        </w:rPr>
        <w:t>ZDM - Int. J. Math. Educ.</w:t>
      </w:r>
      <w:r w:rsidRPr="00CF52C2">
        <w:rPr>
          <w:rFonts w:cs="Times New Roman"/>
          <w:noProof/>
          <w:sz w:val="18"/>
          <w:szCs w:val="24"/>
        </w:rPr>
        <w:t>, vol. 45, no. 5, pp. 633–646, 2013.</w:t>
      </w:r>
    </w:p>
    <w:p w14:paraId="2DEECF3F"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[6]</w:t>
      </w:r>
      <w:r w:rsidRPr="00CF52C2">
        <w:rPr>
          <w:rFonts w:cs="Times New Roman"/>
          <w:noProof/>
          <w:sz w:val="18"/>
          <w:szCs w:val="24"/>
        </w:rPr>
        <w:tab/>
        <w:t xml:space="preserve">M. Pardasani, “Teaching Students the Importance of Community Engagement and Awareness in the Areas of Mental Health and Addiction,” </w:t>
      </w:r>
      <w:r w:rsidRPr="00CF52C2">
        <w:rPr>
          <w:rFonts w:cs="Times New Roman"/>
          <w:i/>
          <w:iCs/>
          <w:noProof/>
          <w:sz w:val="18"/>
          <w:szCs w:val="24"/>
        </w:rPr>
        <w:t>New Dir. Treat. Educ. Outreach Ment. Heal. Addict.</w:t>
      </w:r>
      <w:r w:rsidRPr="00CF52C2">
        <w:rPr>
          <w:rFonts w:cs="Times New Roman"/>
          <w:noProof/>
          <w:sz w:val="18"/>
          <w:szCs w:val="24"/>
        </w:rPr>
        <w:t>, pp. 299–313, 2018.</w:t>
      </w:r>
    </w:p>
    <w:p w14:paraId="3D917E67"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[7]</w:t>
      </w:r>
      <w:r w:rsidRPr="00CF52C2">
        <w:rPr>
          <w:rFonts w:cs="Times New Roman"/>
          <w:noProof/>
          <w:sz w:val="18"/>
          <w:szCs w:val="24"/>
        </w:rPr>
        <w:tab/>
        <w:t xml:space="preserve">M. M. Barry, </w:t>
      </w:r>
      <w:r w:rsidRPr="00CF52C2">
        <w:rPr>
          <w:rFonts w:cs="Times New Roman"/>
          <w:i/>
          <w:iCs/>
          <w:noProof/>
          <w:sz w:val="18"/>
          <w:szCs w:val="24"/>
        </w:rPr>
        <w:t>Community Mental Health Promotion Principles and Strategies</w:t>
      </w:r>
      <w:r w:rsidRPr="00CF52C2">
        <w:rPr>
          <w:rFonts w:cs="Times New Roman"/>
          <w:noProof/>
          <w:sz w:val="18"/>
          <w:szCs w:val="24"/>
        </w:rPr>
        <w:t>. 2019.</w:t>
      </w:r>
    </w:p>
    <w:p w14:paraId="11AAF915"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[8]</w:t>
      </w:r>
      <w:r w:rsidRPr="00CF52C2">
        <w:rPr>
          <w:rFonts w:cs="Times New Roman"/>
          <w:noProof/>
          <w:sz w:val="18"/>
          <w:szCs w:val="24"/>
        </w:rPr>
        <w:tab/>
        <w:t xml:space="preserve">M. Boylan, “Ecologies of participation in school classrooms,” </w:t>
      </w:r>
      <w:r w:rsidRPr="00CF52C2">
        <w:rPr>
          <w:rFonts w:cs="Times New Roman"/>
          <w:i/>
          <w:iCs/>
          <w:noProof/>
          <w:sz w:val="18"/>
          <w:szCs w:val="24"/>
        </w:rPr>
        <w:t>Teach. Teach. Educ.</w:t>
      </w:r>
      <w:r w:rsidRPr="00CF52C2">
        <w:rPr>
          <w:rFonts w:cs="Times New Roman"/>
          <w:noProof/>
          <w:sz w:val="18"/>
          <w:szCs w:val="24"/>
        </w:rPr>
        <w:t>, vol. 26, no. 1, pp. 61–70, 2010.</w:t>
      </w:r>
    </w:p>
    <w:p w14:paraId="67224EED"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lastRenderedPageBreak/>
        <w:t>[9]</w:t>
      </w:r>
      <w:r w:rsidRPr="00CF52C2">
        <w:rPr>
          <w:rFonts w:cs="Times New Roman"/>
          <w:noProof/>
          <w:sz w:val="18"/>
          <w:szCs w:val="24"/>
        </w:rPr>
        <w:tab/>
        <w:t xml:space="preserve">W. Slatter and B. France, “Community of Practice: Pedagogical Strategies for Linking Communities of Practice to the Classroom,” in </w:t>
      </w:r>
      <w:r w:rsidRPr="00CF52C2">
        <w:rPr>
          <w:rFonts w:cs="Times New Roman"/>
          <w:i/>
          <w:iCs/>
          <w:noProof/>
          <w:sz w:val="18"/>
          <w:szCs w:val="24"/>
        </w:rPr>
        <w:t>Handbook ofTechnology Education</w:t>
      </w:r>
      <w:r w:rsidRPr="00CF52C2">
        <w:rPr>
          <w:rFonts w:cs="Times New Roman"/>
          <w:noProof/>
          <w:sz w:val="18"/>
          <w:szCs w:val="24"/>
        </w:rPr>
        <w:t>, 2018, pp. 629–641.</w:t>
      </w:r>
    </w:p>
    <w:p w14:paraId="2A3AD20F"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[10]</w:t>
      </w:r>
      <w:r w:rsidRPr="00CF52C2">
        <w:rPr>
          <w:rFonts w:cs="Times New Roman"/>
          <w:noProof/>
          <w:sz w:val="18"/>
          <w:szCs w:val="24"/>
        </w:rPr>
        <w:tab/>
        <w:t xml:space="preserve">R. Kokelaar, “Remaining ‘Grounded’ in a Laparoscopic Community of Practice: The Qualitative Paradigm,” </w:t>
      </w:r>
      <w:r w:rsidRPr="00CF52C2">
        <w:rPr>
          <w:rFonts w:cs="Times New Roman"/>
          <w:i/>
          <w:iCs/>
          <w:noProof/>
          <w:sz w:val="18"/>
          <w:szCs w:val="24"/>
        </w:rPr>
        <w:t>Adv. Surg. Educ. Innov. Chang. Prof. Educ.</w:t>
      </w:r>
      <w:r w:rsidRPr="00CF52C2">
        <w:rPr>
          <w:rFonts w:cs="Times New Roman"/>
          <w:noProof/>
          <w:sz w:val="18"/>
          <w:szCs w:val="24"/>
        </w:rPr>
        <w:t>, vol. 17, pp. 439–443, 2019.</w:t>
      </w:r>
    </w:p>
    <w:p w14:paraId="2D995BDF"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[11]</w:t>
      </w:r>
      <w:r w:rsidRPr="00CF52C2">
        <w:rPr>
          <w:rFonts w:cs="Times New Roman"/>
          <w:noProof/>
          <w:sz w:val="18"/>
          <w:szCs w:val="24"/>
        </w:rPr>
        <w:tab/>
        <w:t xml:space="preserve">M. Gallardo, </w:t>
      </w:r>
      <w:r w:rsidRPr="00CF52C2">
        <w:rPr>
          <w:rFonts w:cs="Times New Roman"/>
          <w:i/>
          <w:iCs/>
          <w:noProof/>
          <w:sz w:val="18"/>
          <w:szCs w:val="24"/>
        </w:rPr>
        <w:t>Negotiating identity in modern foreign language teaching</w:t>
      </w:r>
      <w:r w:rsidRPr="00CF52C2">
        <w:rPr>
          <w:rFonts w:cs="Times New Roman"/>
          <w:noProof/>
          <w:sz w:val="18"/>
          <w:szCs w:val="24"/>
        </w:rPr>
        <w:t>. Springer International Publishing, 2019.</w:t>
      </w:r>
    </w:p>
    <w:p w14:paraId="6F664C5B"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[12]</w:t>
      </w:r>
      <w:r w:rsidRPr="00CF52C2">
        <w:rPr>
          <w:rFonts w:cs="Times New Roman"/>
          <w:noProof/>
          <w:sz w:val="18"/>
          <w:szCs w:val="24"/>
        </w:rPr>
        <w:tab/>
        <w:t xml:space="preserve">M. Flavin, “Disruptive Technology Enhanced Learning,” </w:t>
      </w:r>
      <w:r w:rsidRPr="00CF52C2">
        <w:rPr>
          <w:rFonts w:cs="Times New Roman"/>
          <w:i/>
          <w:iCs/>
          <w:noProof/>
          <w:sz w:val="18"/>
          <w:szCs w:val="24"/>
        </w:rPr>
        <w:t>Disruptive Technol. Enhanc. Learn.</w:t>
      </w:r>
      <w:r w:rsidRPr="00CF52C2">
        <w:rPr>
          <w:rFonts w:cs="Times New Roman"/>
          <w:noProof/>
          <w:sz w:val="18"/>
          <w:szCs w:val="24"/>
        </w:rPr>
        <w:t>, pp. 87–109, 2017.</w:t>
      </w:r>
    </w:p>
    <w:p w14:paraId="428C30CD"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[13]</w:t>
      </w:r>
      <w:r w:rsidRPr="00CF52C2">
        <w:rPr>
          <w:rFonts w:cs="Times New Roman"/>
          <w:noProof/>
          <w:sz w:val="18"/>
          <w:szCs w:val="24"/>
        </w:rPr>
        <w:tab/>
        <w:t xml:space="preserve">L. Adie, A. Mergler, J. Alford, V. Chandra, and E. Hepple, “Teacher Educators’ Critical Reflection on Becoming and Belonging to a Community of Practice,” </w:t>
      </w:r>
      <w:r w:rsidRPr="00CF52C2">
        <w:rPr>
          <w:rFonts w:cs="Times New Roman"/>
          <w:i/>
          <w:iCs/>
          <w:noProof/>
          <w:sz w:val="18"/>
          <w:szCs w:val="24"/>
        </w:rPr>
        <w:t>Communities Pract.</w:t>
      </w:r>
      <w:r w:rsidRPr="00CF52C2">
        <w:rPr>
          <w:rFonts w:cs="Times New Roman"/>
          <w:noProof/>
          <w:sz w:val="18"/>
          <w:szCs w:val="24"/>
        </w:rPr>
        <w:t>, pp. 403–419, 2017.</w:t>
      </w:r>
    </w:p>
    <w:p w14:paraId="1738F820"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[14]</w:t>
      </w:r>
      <w:r w:rsidRPr="00CF52C2">
        <w:rPr>
          <w:rFonts w:cs="Times New Roman"/>
          <w:noProof/>
          <w:sz w:val="18"/>
          <w:szCs w:val="24"/>
        </w:rPr>
        <w:tab/>
        <w:t xml:space="preserve">N. Movshovitz-hadar and A. Shriki, “The Proceedings of the 12th International Congress on Mathematical Education,” </w:t>
      </w:r>
      <w:r w:rsidRPr="00CF52C2">
        <w:rPr>
          <w:rFonts w:cs="Times New Roman"/>
          <w:i/>
          <w:iCs/>
          <w:noProof/>
          <w:sz w:val="18"/>
          <w:szCs w:val="24"/>
        </w:rPr>
        <w:t>Proc. 12th Int. Congr. Math. Educ.</w:t>
      </w:r>
      <w:r w:rsidRPr="00CF52C2">
        <w:rPr>
          <w:rFonts w:cs="Times New Roman"/>
          <w:noProof/>
          <w:sz w:val="18"/>
          <w:szCs w:val="24"/>
        </w:rPr>
        <w:t>, pp. 597–600, 2015.</w:t>
      </w:r>
    </w:p>
    <w:p w14:paraId="7F939A52"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[15]</w:t>
      </w:r>
      <w:r w:rsidRPr="00CF52C2">
        <w:rPr>
          <w:rFonts w:cs="Times New Roman"/>
          <w:noProof/>
          <w:sz w:val="18"/>
          <w:szCs w:val="24"/>
        </w:rPr>
        <w:tab/>
        <w:t xml:space="preserve">M. Evans, “The Challenges of Knowledge Management to Human Performance Technology.,” </w:t>
      </w:r>
      <w:r w:rsidRPr="00CF52C2">
        <w:rPr>
          <w:rFonts w:cs="Times New Roman"/>
          <w:i/>
          <w:iCs/>
          <w:noProof/>
          <w:sz w:val="18"/>
          <w:szCs w:val="24"/>
        </w:rPr>
        <w:t>TechTrends Link. Res. Pract. to Improv. Learn.</w:t>
      </w:r>
      <w:r w:rsidRPr="00CF52C2">
        <w:rPr>
          <w:rFonts w:cs="Times New Roman"/>
          <w:noProof/>
          <w:sz w:val="18"/>
          <w:szCs w:val="24"/>
        </w:rPr>
        <w:t>, vol. 48, no. 2, pp. 48–52, 2004.</w:t>
      </w:r>
    </w:p>
    <w:p w14:paraId="5C942C8E"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[16]</w:t>
      </w:r>
      <w:r w:rsidRPr="00CF52C2">
        <w:rPr>
          <w:rFonts w:cs="Times New Roman"/>
          <w:noProof/>
          <w:sz w:val="18"/>
          <w:szCs w:val="24"/>
        </w:rPr>
        <w:tab/>
        <w:t xml:space="preserve">J. König and C. Kramer, “Teacher professional knowledge and classroom management: on the relation of general pedagogical knowledge (GPK) and classroom management expertise (CME),” </w:t>
      </w:r>
      <w:r w:rsidRPr="00CF52C2">
        <w:rPr>
          <w:rFonts w:cs="Times New Roman"/>
          <w:i/>
          <w:iCs/>
          <w:noProof/>
          <w:sz w:val="18"/>
          <w:szCs w:val="24"/>
        </w:rPr>
        <w:t>ZDM - Math. Educ.</w:t>
      </w:r>
      <w:r w:rsidRPr="00CF52C2">
        <w:rPr>
          <w:rFonts w:cs="Times New Roman"/>
          <w:noProof/>
          <w:sz w:val="18"/>
          <w:szCs w:val="24"/>
        </w:rPr>
        <w:t>, vol. 48, no. 1–2, pp. 139–151, 2016.</w:t>
      </w:r>
    </w:p>
    <w:p w14:paraId="3B7E2BA9"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[17]</w:t>
      </w:r>
      <w:r w:rsidRPr="00CF52C2">
        <w:rPr>
          <w:rFonts w:cs="Times New Roman"/>
          <w:noProof/>
          <w:sz w:val="18"/>
          <w:szCs w:val="24"/>
        </w:rPr>
        <w:tab/>
        <w:t xml:space="preserve">V. J. Shute and B. Emihovich, “Assessing Problem-Solving Skills in Game-Based Immersive Environments,” in </w:t>
      </w:r>
      <w:r w:rsidRPr="00CF52C2">
        <w:rPr>
          <w:rFonts w:cs="Times New Roman"/>
          <w:i/>
          <w:iCs/>
          <w:noProof/>
          <w:sz w:val="18"/>
          <w:szCs w:val="24"/>
        </w:rPr>
        <w:t>Second Handbook ofInformation Technology in Primary and Secondary Education</w:t>
      </w:r>
      <w:r w:rsidRPr="00CF52C2">
        <w:rPr>
          <w:rFonts w:cs="Times New Roman"/>
          <w:noProof/>
          <w:sz w:val="18"/>
          <w:szCs w:val="24"/>
        </w:rPr>
        <w:t>, 2018, pp. 635–648.</w:t>
      </w:r>
    </w:p>
    <w:p w14:paraId="725DD7B2"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[18]</w:t>
      </w:r>
      <w:r w:rsidRPr="00CF52C2">
        <w:rPr>
          <w:rFonts w:cs="Times New Roman"/>
          <w:noProof/>
          <w:sz w:val="18"/>
          <w:szCs w:val="24"/>
        </w:rPr>
        <w:tab/>
        <w:t xml:space="preserve">D. Juandi and A. Jupri, “Developing Mathematical Communication and Representation of Students Grade Vii: a Design Research,” </w:t>
      </w:r>
      <w:r w:rsidRPr="00CF52C2">
        <w:rPr>
          <w:rFonts w:cs="Times New Roman"/>
          <w:i/>
          <w:iCs/>
          <w:noProof/>
          <w:sz w:val="18"/>
          <w:szCs w:val="24"/>
        </w:rPr>
        <w:t>J. Pengajaran Mat. dan Ilmu Pengetah. Alam</w:t>
      </w:r>
      <w:r w:rsidRPr="00CF52C2">
        <w:rPr>
          <w:rFonts w:cs="Times New Roman"/>
          <w:noProof/>
          <w:sz w:val="18"/>
          <w:szCs w:val="24"/>
        </w:rPr>
        <w:t>, vol. 18, no. 2, p. 135, 2013.</w:t>
      </w:r>
    </w:p>
    <w:p w14:paraId="1528B7AF"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[19]</w:t>
      </w:r>
      <w:r w:rsidRPr="00CF52C2">
        <w:rPr>
          <w:rFonts w:cs="Times New Roman"/>
          <w:noProof/>
          <w:sz w:val="18"/>
          <w:szCs w:val="24"/>
        </w:rPr>
        <w:tab/>
        <w:t xml:space="preserve">R. A. Fani and P. Sukoco, “Volleyball learning media using method of teaching games for understanding adobe flash-based,” </w:t>
      </w:r>
      <w:r w:rsidRPr="00CF52C2">
        <w:rPr>
          <w:rFonts w:cs="Times New Roman"/>
          <w:i/>
          <w:iCs/>
          <w:noProof/>
          <w:sz w:val="18"/>
          <w:szCs w:val="24"/>
        </w:rPr>
        <w:t>Psychol. Eval. Technol. Educ. Res.</w:t>
      </w:r>
      <w:r w:rsidRPr="00CF52C2">
        <w:rPr>
          <w:rFonts w:cs="Times New Roman"/>
          <w:noProof/>
          <w:sz w:val="18"/>
          <w:szCs w:val="24"/>
        </w:rPr>
        <w:t>, vol. 2, no. 1, pp. 34–50, 2019.</w:t>
      </w:r>
    </w:p>
    <w:p w14:paraId="561B7D54"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[20]</w:t>
      </w:r>
      <w:r w:rsidRPr="00CF52C2">
        <w:rPr>
          <w:rFonts w:cs="Times New Roman"/>
          <w:noProof/>
          <w:sz w:val="18"/>
          <w:szCs w:val="24"/>
        </w:rPr>
        <w:tab/>
        <w:t xml:space="preserve">S. Fitri, E. Syahputra, and H. Syahputra, “Blended learning rotation model of cognitive conflict strategy to improve mathematical resilience in high school students,” </w:t>
      </w:r>
      <w:r w:rsidRPr="00CF52C2">
        <w:rPr>
          <w:rFonts w:cs="Times New Roman"/>
          <w:i/>
          <w:iCs/>
          <w:noProof/>
          <w:sz w:val="18"/>
          <w:szCs w:val="24"/>
        </w:rPr>
        <w:t>Int. J. Sci. Technol. Res.</w:t>
      </w:r>
      <w:r w:rsidRPr="00CF52C2">
        <w:rPr>
          <w:rFonts w:cs="Times New Roman"/>
          <w:noProof/>
          <w:sz w:val="18"/>
          <w:szCs w:val="24"/>
        </w:rPr>
        <w:t>, vol. 8, no. 12, pp. 80–87, 2019.</w:t>
      </w:r>
    </w:p>
    <w:p w14:paraId="77A3E7AA"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[21]</w:t>
      </w:r>
      <w:r w:rsidRPr="00CF52C2">
        <w:rPr>
          <w:rFonts w:cs="Times New Roman"/>
          <w:noProof/>
          <w:sz w:val="18"/>
          <w:szCs w:val="24"/>
        </w:rPr>
        <w:tab/>
        <w:t xml:space="preserve">S. Aminah, T. T. Wijaya, and D. Yuspriyati, “Analisis Kemampuan Komunikasi Matematis Siswa Kelas Viii Pada Materi Himpunan,” </w:t>
      </w:r>
      <w:r w:rsidRPr="00CF52C2">
        <w:rPr>
          <w:rFonts w:cs="Times New Roman"/>
          <w:i/>
          <w:iCs/>
          <w:noProof/>
          <w:sz w:val="18"/>
          <w:szCs w:val="24"/>
        </w:rPr>
        <w:t>J. Cendekia  J. Pendidik. Mat.</w:t>
      </w:r>
      <w:r w:rsidRPr="00CF52C2">
        <w:rPr>
          <w:rFonts w:cs="Times New Roman"/>
          <w:noProof/>
          <w:sz w:val="18"/>
          <w:szCs w:val="24"/>
        </w:rPr>
        <w:t>, vol. 2, no. 1, pp. 15–22, 2018.</w:t>
      </w:r>
    </w:p>
    <w:p w14:paraId="65FB5107"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[22]</w:t>
      </w:r>
      <w:r w:rsidRPr="00CF52C2">
        <w:rPr>
          <w:rFonts w:cs="Times New Roman"/>
          <w:noProof/>
          <w:sz w:val="18"/>
          <w:szCs w:val="24"/>
        </w:rPr>
        <w:tab/>
        <w:t xml:space="preserve">P. Aditya, T. T. Wijaya, S. N. Dewi, and Z. Zulfah, “ANALISIS BUKU SISWA MATEMATIKA SMA DARI INDONESIA DAN CHINA PADA MATERI PELUANG DAN STATISTIK,” </w:t>
      </w:r>
      <w:r w:rsidRPr="00CF52C2">
        <w:rPr>
          <w:rFonts w:cs="Times New Roman"/>
          <w:i/>
          <w:iCs/>
          <w:noProof/>
          <w:sz w:val="18"/>
          <w:szCs w:val="24"/>
        </w:rPr>
        <w:t>J. Cendekia J. Pendidik. Mat.</w:t>
      </w:r>
      <w:r w:rsidRPr="00CF52C2">
        <w:rPr>
          <w:rFonts w:cs="Times New Roman"/>
          <w:noProof/>
          <w:sz w:val="18"/>
          <w:szCs w:val="24"/>
        </w:rPr>
        <w:t>, vol. 4, no. 2, pp. 813–822, 2020.</w:t>
      </w:r>
    </w:p>
    <w:p w14:paraId="75606583"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[23]</w:t>
      </w:r>
      <w:r w:rsidRPr="00CF52C2">
        <w:rPr>
          <w:rFonts w:cs="Times New Roman"/>
          <w:noProof/>
          <w:sz w:val="18"/>
          <w:szCs w:val="24"/>
        </w:rPr>
        <w:tab/>
        <w:t xml:space="preserve">J. Cai, M. Ding, and T. Wang, “How do exemplary Chinese and U.S. mathematics teachers view instructional coherence?,” </w:t>
      </w:r>
      <w:r w:rsidRPr="00CF52C2">
        <w:rPr>
          <w:rFonts w:cs="Times New Roman"/>
          <w:i/>
          <w:iCs/>
          <w:noProof/>
          <w:sz w:val="18"/>
          <w:szCs w:val="24"/>
        </w:rPr>
        <w:t>Educ. Stud. Math.</w:t>
      </w:r>
      <w:r w:rsidRPr="00CF52C2">
        <w:rPr>
          <w:rFonts w:cs="Times New Roman"/>
          <w:noProof/>
          <w:sz w:val="18"/>
          <w:szCs w:val="24"/>
        </w:rPr>
        <w:t>, vol. 85, no. 2, pp. 265–280, 2014.</w:t>
      </w:r>
    </w:p>
    <w:p w14:paraId="0E2348FB"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[24]</w:t>
      </w:r>
      <w:r w:rsidRPr="00CF52C2">
        <w:rPr>
          <w:rFonts w:cs="Times New Roman"/>
          <w:noProof/>
          <w:sz w:val="18"/>
          <w:szCs w:val="24"/>
        </w:rPr>
        <w:tab/>
        <w:t xml:space="preserve">T. T. Wijaya, Z. Ying, and L. Suan, “Using Geogebra in Teaching Plane Vector,” </w:t>
      </w:r>
      <w:r w:rsidRPr="00CF52C2">
        <w:rPr>
          <w:rFonts w:cs="Times New Roman"/>
          <w:i/>
          <w:iCs/>
          <w:noProof/>
          <w:sz w:val="18"/>
          <w:szCs w:val="24"/>
        </w:rPr>
        <w:t>J. Innov. Math. Learn.</w:t>
      </w:r>
      <w:r w:rsidRPr="00CF52C2">
        <w:rPr>
          <w:rFonts w:cs="Times New Roman"/>
          <w:noProof/>
          <w:sz w:val="18"/>
          <w:szCs w:val="24"/>
        </w:rPr>
        <w:t>, vol. 3, no. 1, pp. 15–23, 2020.</w:t>
      </w:r>
    </w:p>
    <w:p w14:paraId="7AB3785B"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[25]</w:t>
      </w:r>
      <w:r w:rsidRPr="00CF52C2">
        <w:rPr>
          <w:rFonts w:cs="Times New Roman"/>
          <w:noProof/>
          <w:sz w:val="18"/>
          <w:szCs w:val="24"/>
        </w:rPr>
        <w:tab/>
        <w:t xml:space="preserve">N. Hermita, H. S. Ningsih, J. A. Alim, M. Alpusari, Z. H. Putra, and T. T. Wijaya, “Developing Science Comics for Elementary School Students on Animal Diversity,” </w:t>
      </w:r>
      <w:r w:rsidRPr="00CF52C2">
        <w:rPr>
          <w:rFonts w:cs="Times New Roman"/>
          <w:i/>
          <w:iCs/>
          <w:noProof/>
          <w:sz w:val="18"/>
          <w:szCs w:val="24"/>
        </w:rPr>
        <w:t>Solid State Technol.</w:t>
      </w:r>
      <w:r w:rsidRPr="00CF52C2">
        <w:rPr>
          <w:rFonts w:cs="Times New Roman"/>
          <w:noProof/>
          <w:sz w:val="18"/>
          <w:szCs w:val="24"/>
        </w:rPr>
        <w:t>, vol. 63, no. 1s, 2020.</w:t>
      </w:r>
    </w:p>
    <w:p w14:paraId="521D3D95"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[26]</w:t>
      </w:r>
      <w:r w:rsidRPr="00CF52C2">
        <w:rPr>
          <w:rFonts w:cs="Times New Roman"/>
          <w:noProof/>
          <w:sz w:val="18"/>
          <w:szCs w:val="24"/>
        </w:rPr>
        <w:tab/>
        <w:t xml:space="preserve">T. T. Wijaya, Z. Ying, S. Chotimah, M. Bernard, Zulfah, and Astuti, “Hawgent dynamic mathematic software as mathematics learning media for teaching quadratic functions,” in </w:t>
      </w:r>
      <w:r w:rsidRPr="00CF52C2">
        <w:rPr>
          <w:rFonts w:cs="Times New Roman"/>
          <w:i/>
          <w:iCs/>
          <w:noProof/>
          <w:sz w:val="18"/>
          <w:szCs w:val="24"/>
        </w:rPr>
        <w:t>Journal of Physics: Conference Series</w:t>
      </w:r>
      <w:r w:rsidRPr="00CF52C2">
        <w:rPr>
          <w:rFonts w:cs="Times New Roman"/>
          <w:noProof/>
          <w:sz w:val="18"/>
          <w:szCs w:val="24"/>
        </w:rPr>
        <w:t>, 2020, vol. 1592, no. 1.</w:t>
      </w:r>
    </w:p>
    <w:p w14:paraId="46D06727"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[27]</w:t>
      </w:r>
      <w:r w:rsidRPr="00CF52C2">
        <w:rPr>
          <w:rFonts w:cs="Times New Roman"/>
          <w:noProof/>
          <w:sz w:val="18"/>
          <w:szCs w:val="24"/>
        </w:rPr>
        <w:tab/>
        <w:t xml:space="preserve">T. T. Wijaya, Z. Ying, A. Purnama, and N. Hermita, “Indonesian students’ learning attitude towards online learning during the coronavirus pandemic,” </w:t>
      </w:r>
      <w:r w:rsidRPr="00CF52C2">
        <w:rPr>
          <w:rFonts w:cs="Times New Roman"/>
          <w:i/>
          <w:iCs/>
          <w:noProof/>
          <w:sz w:val="18"/>
          <w:szCs w:val="24"/>
        </w:rPr>
        <w:t>Psychol. Eval. Technol. Educ. Res.</w:t>
      </w:r>
      <w:r w:rsidRPr="00CF52C2">
        <w:rPr>
          <w:rFonts w:cs="Times New Roman"/>
          <w:noProof/>
          <w:sz w:val="18"/>
          <w:szCs w:val="24"/>
        </w:rPr>
        <w:t>, vol. 3, no. 1, pp. 17–25, 2020.</w:t>
      </w:r>
    </w:p>
    <w:p w14:paraId="44121DD5"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[28]</w:t>
      </w:r>
      <w:r w:rsidRPr="00CF52C2">
        <w:rPr>
          <w:rFonts w:cs="Times New Roman"/>
          <w:noProof/>
          <w:sz w:val="18"/>
          <w:szCs w:val="24"/>
        </w:rPr>
        <w:tab/>
        <w:t xml:space="preserve">T. T. Wijaya, Z. Ying, and A. Purnama, “Using Hawgent dynamic mathematics software in teaching trigonometry,” </w:t>
      </w:r>
      <w:r w:rsidRPr="00CF52C2">
        <w:rPr>
          <w:rFonts w:cs="Times New Roman"/>
          <w:i/>
          <w:iCs/>
          <w:noProof/>
          <w:sz w:val="18"/>
          <w:szCs w:val="24"/>
        </w:rPr>
        <w:t>Int. J. Emerg. Technol. Learn.</w:t>
      </w:r>
      <w:r w:rsidRPr="00CF52C2">
        <w:rPr>
          <w:rFonts w:cs="Times New Roman"/>
          <w:noProof/>
          <w:sz w:val="18"/>
          <w:szCs w:val="24"/>
        </w:rPr>
        <w:t>, vol. 15, no. 10, 2020.</w:t>
      </w:r>
    </w:p>
    <w:p w14:paraId="060F45FB"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[29]</w:t>
      </w:r>
      <w:r w:rsidRPr="00CF52C2">
        <w:rPr>
          <w:rFonts w:cs="Times New Roman"/>
          <w:noProof/>
          <w:sz w:val="18"/>
          <w:szCs w:val="24"/>
        </w:rPr>
        <w:tab/>
        <w:t xml:space="preserve">J. H. L. Koh, H. L. Woo, and W. Y. Lim, “Understanding the relationship between Singapore preservice teachers’ ICT course experiences and technological pedagogical content knowledge (TPACK) through ICT course evaluation,” </w:t>
      </w:r>
      <w:r w:rsidRPr="00CF52C2">
        <w:rPr>
          <w:rFonts w:cs="Times New Roman"/>
          <w:i/>
          <w:iCs/>
          <w:noProof/>
          <w:sz w:val="18"/>
          <w:szCs w:val="24"/>
        </w:rPr>
        <w:t>Educ. Assessment, Eval. Account.</w:t>
      </w:r>
      <w:r w:rsidRPr="00CF52C2">
        <w:rPr>
          <w:rFonts w:cs="Times New Roman"/>
          <w:noProof/>
          <w:sz w:val="18"/>
          <w:szCs w:val="24"/>
        </w:rPr>
        <w:t>, vol. 25, no. 4, pp. 321–339, 2013.</w:t>
      </w:r>
    </w:p>
    <w:p w14:paraId="12FC5A3F"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lastRenderedPageBreak/>
        <w:t>[30]</w:t>
      </w:r>
      <w:r w:rsidRPr="00CF52C2">
        <w:rPr>
          <w:rFonts w:cs="Times New Roman"/>
          <w:noProof/>
          <w:sz w:val="18"/>
          <w:szCs w:val="24"/>
        </w:rPr>
        <w:tab/>
        <w:t xml:space="preserve">E. Baran, S. Canbazoglu Bilici, A. Albayrak Sari, and J. Tondeur, “Investigating the impact of teacher education strategies on preservice teachers’ TPACK,” </w:t>
      </w:r>
      <w:r w:rsidRPr="00CF52C2">
        <w:rPr>
          <w:rFonts w:cs="Times New Roman"/>
          <w:i/>
          <w:iCs/>
          <w:noProof/>
          <w:sz w:val="18"/>
          <w:szCs w:val="24"/>
        </w:rPr>
        <w:t>Br. J. Educ. Technol.</w:t>
      </w:r>
      <w:r w:rsidRPr="00CF52C2">
        <w:rPr>
          <w:rFonts w:cs="Times New Roman"/>
          <w:noProof/>
          <w:sz w:val="18"/>
          <w:szCs w:val="24"/>
        </w:rPr>
        <w:t>, vol. 50, no. 1, pp. 357–370, 2019.</w:t>
      </w:r>
    </w:p>
    <w:p w14:paraId="761ECEDE"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[31]</w:t>
      </w:r>
      <w:r w:rsidRPr="00CF52C2">
        <w:rPr>
          <w:rFonts w:cs="Times New Roman"/>
          <w:noProof/>
          <w:sz w:val="18"/>
          <w:szCs w:val="24"/>
        </w:rPr>
        <w:tab/>
        <w:t xml:space="preserve">L. Fan and K. S. G., “The influence of textbooks on teaching strategies: An empirical study,” </w:t>
      </w:r>
      <w:r w:rsidRPr="00CF52C2">
        <w:rPr>
          <w:rFonts w:cs="Times New Roman"/>
          <w:i/>
          <w:iCs/>
          <w:noProof/>
          <w:sz w:val="18"/>
          <w:szCs w:val="24"/>
        </w:rPr>
        <w:t>Mid-Western Educ. Res.</w:t>
      </w:r>
      <w:r w:rsidRPr="00CF52C2">
        <w:rPr>
          <w:rFonts w:cs="Times New Roman"/>
          <w:noProof/>
          <w:sz w:val="18"/>
          <w:szCs w:val="24"/>
        </w:rPr>
        <w:t>, vol. 13, no. 4, 2000.</w:t>
      </w:r>
    </w:p>
    <w:p w14:paraId="16F30C64" w14:textId="77777777" w:rsidR="00CF52C2" w:rsidRPr="00CF52C2" w:rsidRDefault="00CF52C2" w:rsidP="00CF52C2">
      <w:pPr>
        <w:adjustRightInd w:val="0"/>
        <w:spacing w:before="120"/>
        <w:ind w:left="990" w:right="1170"/>
        <w:jc w:val="both"/>
        <w:rPr>
          <w:rFonts w:cs="Times New Roman"/>
          <w:noProof/>
          <w:sz w:val="18"/>
          <w:szCs w:val="24"/>
        </w:rPr>
      </w:pPr>
      <w:r w:rsidRPr="00CF52C2">
        <w:rPr>
          <w:rFonts w:cs="Times New Roman"/>
          <w:noProof/>
          <w:sz w:val="18"/>
          <w:szCs w:val="24"/>
        </w:rPr>
        <w:t>[32]</w:t>
      </w:r>
      <w:r w:rsidRPr="00CF52C2">
        <w:rPr>
          <w:rFonts w:cs="Times New Roman"/>
          <w:noProof/>
          <w:sz w:val="18"/>
          <w:szCs w:val="24"/>
        </w:rPr>
        <w:tab/>
        <w:t xml:space="preserve">H. Bancong and J. Song, “Do physics textbooks present the ideas of thought experiments?: A case in Indonesia,” </w:t>
      </w:r>
      <w:r w:rsidRPr="00CF52C2">
        <w:rPr>
          <w:rFonts w:cs="Times New Roman"/>
          <w:i/>
          <w:iCs/>
          <w:noProof/>
          <w:sz w:val="18"/>
          <w:szCs w:val="24"/>
        </w:rPr>
        <w:t>J. Pendidik. IPA Indones.</w:t>
      </w:r>
      <w:r w:rsidRPr="00CF52C2">
        <w:rPr>
          <w:rFonts w:cs="Times New Roman"/>
          <w:noProof/>
          <w:sz w:val="18"/>
          <w:szCs w:val="24"/>
        </w:rPr>
        <w:t>, vol. 7, no. 1, pp. 25–33, 2018.</w:t>
      </w:r>
    </w:p>
    <w:p w14:paraId="052F27FB" w14:textId="77777777" w:rsidR="00CF52C2" w:rsidRPr="00CF52C2" w:rsidRDefault="00CF52C2" w:rsidP="00CF52C2">
      <w:pPr>
        <w:adjustRightInd w:val="0"/>
        <w:spacing w:before="120"/>
        <w:ind w:left="990" w:right="1170"/>
        <w:jc w:val="both"/>
        <w:rPr>
          <w:noProof/>
          <w:sz w:val="18"/>
        </w:rPr>
      </w:pPr>
      <w:r w:rsidRPr="00CF52C2">
        <w:rPr>
          <w:rFonts w:cs="Times New Roman"/>
          <w:noProof/>
          <w:sz w:val="18"/>
          <w:szCs w:val="24"/>
        </w:rPr>
        <w:t>[33]</w:t>
      </w:r>
      <w:r w:rsidRPr="00CF52C2">
        <w:rPr>
          <w:rFonts w:cs="Times New Roman"/>
          <w:noProof/>
          <w:sz w:val="18"/>
          <w:szCs w:val="24"/>
        </w:rPr>
        <w:tab/>
        <w:t xml:space="preserve">F. Teng, “Autonomy, agency, and identity in teaching and learning english as a foreign language,” </w:t>
      </w:r>
      <w:r w:rsidRPr="00CF52C2">
        <w:rPr>
          <w:rFonts w:cs="Times New Roman"/>
          <w:i/>
          <w:iCs/>
          <w:noProof/>
          <w:sz w:val="18"/>
          <w:szCs w:val="24"/>
        </w:rPr>
        <w:t>Auton. Agency, Identity Teach. Learn. English as a Foreign Lang.</w:t>
      </w:r>
      <w:r w:rsidRPr="00CF52C2">
        <w:rPr>
          <w:rFonts w:cs="Times New Roman"/>
          <w:noProof/>
          <w:sz w:val="18"/>
          <w:szCs w:val="24"/>
        </w:rPr>
        <w:t>, vol. 2019, pp. 1–132, 2018.</w:t>
      </w:r>
    </w:p>
    <w:p w14:paraId="7D1D7EE1" w14:textId="77777777" w:rsidR="009A06C2" w:rsidRPr="00CF52C2" w:rsidRDefault="00CF52C2" w:rsidP="00CF52C2">
      <w:pPr>
        <w:pStyle w:val="BodyText"/>
        <w:spacing w:before="120"/>
        <w:ind w:left="990" w:right="1170"/>
      </w:pPr>
      <w:r>
        <w:fldChar w:fldCharType="end"/>
      </w:r>
    </w:p>
    <w:sectPr w:rsidR="009A06C2" w:rsidRPr="00CF52C2" w:rsidSect="00D10A95">
      <w:headerReference w:type="even" r:id="rId15"/>
      <w:headerReference w:type="default" r:id="rId16"/>
      <w:pgSz w:w="11910" w:h="16840"/>
      <w:pgMar w:top="1500" w:right="0" w:bottom="1280" w:left="1020" w:header="1262" w:footer="1098" w:gutter="0"/>
      <w:cols w:space="720"/>
      <w:docGrid w:linePitch="2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90AD7" w14:textId="77777777" w:rsidR="00CC0C84" w:rsidRDefault="00CC0C84">
      <w:r>
        <w:separator/>
      </w:r>
    </w:p>
  </w:endnote>
  <w:endnote w:type="continuationSeparator" w:id="0">
    <w:p w14:paraId="72FF5AD4" w14:textId="77777777" w:rsidR="00CC0C84" w:rsidRDefault="00CC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381319"/>
      <w:docPartObj>
        <w:docPartGallery w:val="Page Numbers (Bottom of Page)"/>
        <w:docPartUnique/>
      </w:docPartObj>
    </w:sdtPr>
    <w:sdtEndPr/>
    <w:sdtContent>
      <w:sdt>
        <w:sdtPr>
          <w:id w:val="-440455158"/>
          <w:docPartObj>
            <w:docPartGallery w:val="Page Numbers (Top of Page)"/>
            <w:docPartUnique/>
          </w:docPartObj>
        </w:sdtPr>
        <w:sdtEndPr/>
        <w:sdtContent>
          <w:p w14:paraId="74994769" w14:textId="04F4BB7E" w:rsidR="00D10A95" w:rsidRDefault="00D10A9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D1FEA">
              <w:rPr>
                <w:b/>
                <w:bCs/>
                <w:noProof/>
              </w:rPr>
              <w:t>30</w:t>
            </w:r>
            <w:r>
              <w:rPr>
                <w:b/>
                <w:bCs/>
                <w:sz w:val="24"/>
                <w:szCs w:val="24"/>
              </w:rPr>
              <w:fldChar w:fldCharType="end"/>
            </w:r>
            <w:r>
              <w:t xml:space="preserve"> of </w:t>
            </w:r>
            <w:r w:rsidR="000A17DA">
              <w:rPr>
                <w:b/>
                <w:bCs/>
                <w:sz w:val="24"/>
                <w:szCs w:val="24"/>
              </w:rPr>
              <w:t>33</w:t>
            </w:r>
          </w:p>
        </w:sdtContent>
      </w:sdt>
    </w:sdtContent>
  </w:sdt>
  <w:p w14:paraId="37556F5F" w14:textId="77777777" w:rsidR="009A190B" w:rsidRDefault="009A19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35208"/>
      <w:docPartObj>
        <w:docPartGallery w:val="Page Numbers (Bottom of Page)"/>
        <w:docPartUnique/>
      </w:docPartObj>
    </w:sdtPr>
    <w:sdtContent>
      <w:sdt>
        <w:sdtPr>
          <w:id w:val="-1705238520"/>
          <w:docPartObj>
            <w:docPartGallery w:val="Page Numbers (Top of Page)"/>
            <w:docPartUnique/>
          </w:docPartObj>
        </w:sdtPr>
        <w:sdtContent>
          <w:p w14:paraId="713191F8" w14:textId="77777777" w:rsidR="000A17DA" w:rsidRDefault="000A17DA" w:rsidP="000A17DA">
            <w:pPr>
              <w:pStyle w:val="Footer"/>
              <w:ind w:right="400"/>
              <w:jc w:val="right"/>
            </w:pPr>
          </w:p>
          <w:p w14:paraId="531B3FC8" w14:textId="77777777" w:rsidR="000A17DA" w:rsidRDefault="000A17DA" w:rsidP="000A17DA">
            <w:pPr>
              <w:pStyle w:val="Footer"/>
              <w:ind w:right="400"/>
            </w:pPr>
            <w:bookmarkStart w:id="2" w:name="_GoBack"/>
            <w:bookmarkEnd w:id="2"/>
          </w:p>
          <w:p w14:paraId="69026710" w14:textId="77777777" w:rsidR="000A17DA" w:rsidRDefault="000A17DA" w:rsidP="000A17DA">
            <w:pPr>
              <w:pStyle w:val="Footer"/>
              <w:ind w:right="400"/>
              <w:jc w:val="right"/>
            </w:pPr>
          </w:p>
          <w:p w14:paraId="507A4B3E" w14:textId="77777777" w:rsidR="000A17DA" w:rsidRDefault="000A17DA" w:rsidP="000A17DA">
            <w:pPr>
              <w:pStyle w:val="Footer"/>
              <w:ind w:right="400"/>
              <w:jc w:val="right"/>
            </w:pPr>
          </w:p>
          <w:p w14:paraId="0EADD29D" w14:textId="77777777" w:rsidR="000A17DA" w:rsidRDefault="000A17DA" w:rsidP="000A17DA">
            <w:pPr>
              <w:pStyle w:val="Footer"/>
              <w:ind w:right="400"/>
              <w:jc w:val="right"/>
            </w:pPr>
          </w:p>
          <w:p w14:paraId="68A81E73" w14:textId="77777777" w:rsidR="000A17DA" w:rsidRDefault="000A17DA" w:rsidP="000A17DA">
            <w:pPr>
              <w:pStyle w:val="Footer"/>
              <w:ind w:right="400"/>
              <w:jc w:val="right"/>
            </w:pPr>
          </w:p>
          <w:p w14:paraId="521FB12D" w14:textId="3DA9B400" w:rsidR="000A17DA" w:rsidRDefault="000A17DA" w:rsidP="000A17DA">
            <w:pPr>
              <w:pStyle w:val="Footer"/>
              <w:ind w:right="400"/>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D1FEA">
              <w:rPr>
                <w:b/>
                <w:bCs/>
                <w:noProof/>
              </w:rPr>
              <w:t>27</w:t>
            </w:r>
            <w:r>
              <w:rPr>
                <w:b/>
                <w:bCs/>
                <w:sz w:val="24"/>
                <w:szCs w:val="24"/>
              </w:rPr>
              <w:fldChar w:fldCharType="end"/>
            </w:r>
            <w:r>
              <w:t xml:space="preserve"> of </w:t>
            </w:r>
            <w:r>
              <w:rPr>
                <w:b/>
                <w:bCs/>
                <w:sz w:val="24"/>
                <w:szCs w:val="24"/>
              </w:rPr>
              <w:t>33</w:t>
            </w:r>
          </w:p>
        </w:sdtContent>
      </w:sdt>
    </w:sdtContent>
  </w:sdt>
  <w:p w14:paraId="053AD3B6" w14:textId="77777777" w:rsidR="009731DE" w:rsidRDefault="009731DE" w:rsidP="002441CC">
    <w:pPr>
      <w:pStyle w:val="Footer"/>
      <w:ind w:right="1109"/>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4342" w14:textId="77777777" w:rsidR="000A17DA" w:rsidRDefault="000A17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D4A9D" w14:textId="77777777" w:rsidR="00CC0C84" w:rsidRDefault="00CC0C84">
      <w:r>
        <w:separator/>
      </w:r>
    </w:p>
  </w:footnote>
  <w:footnote w:type="continuationSeparator" w:id="0">
    <w:p w14:paraId="084B1DE2" w14:textId="77777777" w:rsidR="00CC0C84" w:rsidRDefault="00CC0C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C3D21" w14:textId="365A7C97" w:rsidR="009731DE" w:rsidRPr="008D547E" w:rsidRDefault="008D547E">
    <w:pPr>
      <w:pStyle w:val="Header"/>
      <w:rPr>
        <w:i/>
        <w:iCs/>
        <w:sz w:val="18"/>
        <w:szCs w:val="18"/>
      </w:rPr>
    </w:pPr>
    <w:proofErr w:type="spellStart"/>
    <w:r w:rsidRPr="008D547E">
      <w:rPr>
        <w:i/>
        <w:iCs/>
        <w:sz w:val="18"/>
        <w:szCs w:val="18"/>
      </w:rPr>
      <w:t>Hermita</w:t>
    </w:r>
    <w:proofErr w:type="spellEnd"/>
    <w:r w:rsidRPr="008D547E">
      <w:rPr>
        <w:i/>
        <w:iCs/>
        <w:sz w:val="18"/>
        <w:szCs w:val="18"/>
      </w:rPr>
      <w:t xml:space="preserve"> et al</w:t>
    </w:r>
    <w:r w:rsidRPr="008D547E">
      <w:rPr>
        <w:sz w:val="18"/>
        <w:szCs w:val="18"/>
      </w:rPr>
      <w:t>.</w:t>
    </w:r>
    <w:r w:rsidR="009731DE" w:rsidRPr="008D547E">
      <w:rPr>
        <w:sz w:val="18"/>
        <w:szCs w:val="18"/>
        <w:lang w:val="id-ID"/>
      </w:rPr>
      <w:t>/</w:t>
    </w:r>
    <w:r w:rsidRPr="008D547E">
      <w:rPr>
        <w:rFonts w:ascii="Segoe UI" w:hAnsi="Segoe UI"/>
        <w:sz w:val="18"/>
        <w:szCs w:val="18"/>
        <w:lang w:val="en-GB"/>
      </w:rPr>
      <w:t xml:space="preserve"> </w:t>
    </w:r>
    <w:r w:rsidRPr="008D547E">
      <w:rPr>
        <w:i/>
        <w:iCs/>
        <w:sz w:val="18"/>
        <w:szCs w:val="18"/>
        <w:lang w:val="en-GB"/>
      </w:rPr>
      <w:t>Community of Practice</w:t>
    </w:r>
    <w:r w:rsidRPr="008D547E">
      <w:rPr>
        <w:i/>
        <w:iCs/>
        <w:sz w:val="18"/>
        <w:szCs w:val="18"/>
      </w:rPr>
      <w:t>, Teacher Performance, Primary Schools</w:t>
    </w:r>
  </w:p>
  <w:p w14:paraId="2CB1F43B" w14:textId="77777777" w:rsidR="00112262" w:rsidRPr="008D547E" w:rsidRDefault="00112262">
    <w:pPr>
      <w:pStyle w:val="BodyText"/>
      <w:spacing w:line="14" w:lineRule="auto"/>
      <w:jc w:val="left"/>
      <w:rPr>
        <w:i/>
        <w:i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FC34" w14:textId="6444EB78" w:rsidR="007E0524" w:rsidRDefault="007E0524" w:rsidP="009731DE">
    <w:pPr>
      <w:pStyle w:val="BodyText"/>
      <w:ind w:right="1134"/>
      <w:jc w:val="right"/>
      <w:rPr>
        <w:rFonts w:ascii="Segoe UI"/>
        <w:lang w:val="id-ID"/>
      </w:rPr>
    </w:pPr>
    <w:r>
      <w:rPr>
        <w:rFonts w:ascii="Segoe UI"/>
        <w:lang w:val="id-ID"/>
      </w:rPr>
      <w:t>DINAMIKA Jurnal Ilmiah Pendidikan Dasar, 20</w:t>
    </w:r>
    <w:r w:rsidR="00EF0317">
      <w:rPr>
        <w:rFonts w:ascii="Segoe UI"/>
      </w:rPr>
      <w:t>21</w:t>
    </w:r>
    <w:r>
      <w:rPr>
        <w:rFonts w:ascii="Segoe UI"/>
        <w:lang w:val="id-ID"/>
      </w:rPr>
      <w:t>, 1</w:t>
    </w:r>
    <w:r w:rsidR="00EF0317">
      <w:rPr>
        <w:rFonts w:ascii="Segoe UI"/>
      </w:rPr>
      <w:t>3</w:t>
    </w:r>
    <w:r>
      <w:rPr>
        <w:rFonts w:ascii="Segoe UI"/>
        <w:lang w:val="id-ID"/>
      </w:rPr>
      <w:t>(</w:t>
    </w:r>
    <w:r w:rsidR="00EF0317">
      <w:rPr>
        <w:rFonts w:ascii="Segoe UI"/>
      </w:rPr>
      <w:t>1</w:t>
    </w:r>
    <w:r>
      <w:rPr>
        <w:rFonts w:ascii="Segoe UI"/>
        <w:lang w:val="id-ID"/>
      </w:rPr>
      <w:t>)</w:t>
    </w:r>
  </w:p>
  <w:p w14:paraId="5D46221E" w14:textId="55F77AFB" w:rsidR="009731DE" w:rsidRDefault="009731DE" w:rsidP="009731DE">
    <w:pPr>
      <w:pStyle w:val="BodyText"/>
      <w:ind w:right="1134"/>
      <w:jc w:val="right"/>
      <w:rPr>
        <w:rFonts w:ascii="Segoe UI"/>
      </w:rPr>
    </w:pPr>
    <w:r>
      <w:rPr>
        <w:rFonts w:ascii="Segoe UI"/>
        <w:noProof/>
        <w:lang w:bidi="ar-SA"/>
      </w:rPr>
      <w:drawing>
        <wp:anchor distT="0" distB="0" distL="114300" distR="114300" simplePos="0" relativeHeight="251658752" behindDoc="1" locked="0" layoutInCell="1" allowOverlap="1" wp14:anchorId="785278C9" wp14:editId="714957C3">
          <wp:simplePos x="0" y="0"/>
          <wp:positionH relativeFrom="column">
            <wp:posOffset>476250</wp:posOffset>
          </wp:positionH>
          <wp:positionV relativeFrom="paragraph">
            <wp:posOffset>-504231</wp:posOffset>
          </wp:positionV>
          <wp:extent cx="542500" cy="628692"/>
          <wp:effectExtent l="0" t="0" r="0" b="0"/>
          <wp:wrapNone/>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Dinamika image.png"/>
                  <pic:cNvPicPr/>
                </pic:nvPicPr>
                <pic:blipFill>
                  <a:blip r:embed="rId1">
                    <a:extLst>
                      <a:ext uri="{28A0092B-C50C-407E-A947-70E740481C1C}">
                        <a14:useLocalDpi xmlns:a14="http://schemas.microsoft.com/office/drawing/2010/main" val="0"/>
                      </a:ext>
                    </a:extLst>
                  </a:blip>
                  <a:stretch>
                    <a:fillRect/>
                  </a:stretch>
                </pic:blipFill>
                <pic:spPr>
                  <a:xfrm>
                    <a:off x="0" y="0"/>
                    <a:ext cx="548570" cy="635727"/>
                  </a:xfrm>
                  <a:prstGeom prst="rect">
                    <a:avLst/>
                  </a:prstGeom>
                </pic:spPr>
              </pic:pic>
            </a:graphicData>
          </a:graphic>
          <wp14:sizeRelH relativeFrom="page">
            <wp14:pctWidth>0</wp14:pctWidth>
          </wp14:sizeRelH>
          <wp14:sizeRelV relativeFrom="page">
            <wp14:pctHeight>0</wp14:pctHeight>
          </wp14:sizeRelV>
        </wp:anchor>
      </w:drawing>
    </w:r>
    <w:r>
      <w:rPr>
        <w:rFonts w:ascii="Segoe UI"/>
      </w:rPr>
      <w:t>ISSN:</w:t>
    </w:r>
    <w:r w:rsidR="00EF0317">
      <w:rPr>
        <w:rFonts w:ascii="Segoe UI"/>
      </w:rPr>
      <w:t xml:space="preserve"> </w:t>
    </w:r>
    <w:r>
      <w:rPr>
        <w:rFonts w:ascii="Segoe UI"/>
      </w:rPr>
      <w:t>2655-870X</w:t>
    </w:r>
    <w:r>
      <w:rPr>
        <w:rFonts w:ascii="Segoe UI"/>
        <w:spacing w:val="-14"/>
      </w:rPr>
      <w:t xml:space="preserve"> </w:t>
    </w:r>
    <w:r>
      <w:rPr>
        <w:rFonts w:ascii="Segoe UI"/>
      </w:rPr>
      <w:t>(online)</w:t>
    </w:r>
  </w:p>
  <w:p w14:paraId="4C61998A" w14:textId="35708ED7" w:rsidR="00EF0317" w:rsidRPr="00EF0317" w:rsidRDefault="009731DE" w:rsidP="00EF0317">
    <w:pPr>
      <w:tabs>
        <w:tab w:val="left" w:pos="3890"/>
        <w:tab w:val="left" w:pos="5884"/>
      </w:tabs>
      <w:spacing w:after="22"/>
      <w:ind w:right="1130"/>
      <w:jc w:val="right"/>
      <w:rPr>
        <w:rFonts w:ascii="Segoe UI"/>
        <w:sz w:val="18"/>
      </w:rPr>
    </w:pPr>
    <w:r>
      <w:rPr>
        <w:rFonts w:ascii="Segoe UI"/>
        <w:b/>
        <w:color w:val="F68309"/>
        <w:sz w:val="14"/>
      </w:rPr>
      <w:t>OPEN</w:t>
    </w:r>
    <w:r>
      <w:rPr>
        <w:rFonts w:ascii="Segoe UI"/>
        <w:b/>
        <w:color w:val="F68309"/>
        <w:spacing w:val="-2"/>
        <w:sz w:val="14"/>
      </w:rPr>
      <w:t xml:space="preserve"> </w:t>
    </w:r>
    <w:r>
      <w:rPr>
        <w:rFonts w:ascii="Segoe UI"/>
        <w:b/>
        <w:color w:val="F68309"/>
        <w:sz w:val="14"/>
      </w:rPr>
      <w:t>ACCESS</w:t>
    </w:r>
    <w:r>
      <w:rPr>
        <w:rFonts w:ascii="Segoe UI"/>
        <w:b/>
        <w:color w:val="F68309"/>
        <w:sz w:val="14"/>
      </w:rPr>
      <w:tab/>
    </w:r>
    <w:r>
      <w:rPr>
        <w:rFonts w:ascii="Segoe UI"/>
        <w:b/>
        <w:color w:val="001F5F"/>
        <w:sz w:val="18"/>
      </w:rPr>
      <w:t>Research Paper</w:t>
    </w:r>
    <w:r>
      <w:rPr>
        <w:rFonts w:ascii="Segoe UI"/>
        <w:b/>
        <w:color w:val="001F5F"/>
        <w:sz w:val="18"/>
      </w:rPr>
      <w:tab/>
    </w:r>
    <w:hyperlink r:id="rId2" w:history="1">
      <w:r w:rsidR="00EF0317" w:rsidRPr="00D13A5D">
        <w:rPr>
          <w:rStyle w:val="Hyperlink"/>
          <w:rFonts w:ascii="Segoe UI"/>
          <w:spacing w:val="-1"/>
          <w:sz w:val="18"/>
        </w:rPr>
        <w:t>https://doi.org/10.30595/Dinamika/</w:t>
      </w:r>
      <w:r w:rsidR="00EF0317" w:rsidRPr="00D13A5D">
        <w:rPr>
          <w:rStyle w:val="Hyperlink"/>
          <w:rFonts w:ascii="Segoe UI"/>
          <w:spacing w:val="-1"/>
          <w:sz w:val="18"/>
          <w:lang w:val="id-ID"/>
        </w:rPr>
        <w:t>v1</w:t>
      </w:r>
      <w:r w:rsidR="00EF0317" w:rsidRPr="00D13A5D">
        <w:rPr>
          <w:rStyle w:val="Hyperlink"/>
          <w:rFonts w:ascii="Segoe UI"/>
          <w:spacing w:val="-1"/>
          <w:sz w:val="18"/>
        </w:rPr>
        <w:t>3</w:t>
      </w:r>
      <w:r w:rsidR="00EF0317" w:rsidRPr="00D13A5D">
        <w:rPr>
          <w:rStyle w:val="Hyperlink"/>
          <w:rFonts w:ascii="Segoe UI"/>
          <w:spacing w:val="-1"/>
          <w:sz w:val="18"/>
          <w:lang w:val="id-ID"/>
        </w:rPr>
        <w:t>i2</w:t>
      </w:r>
      <w:r w:rsidR="00EF0317" w:rsidRPr="00D13A5D">
        <w:rPr>
          <w:rStyle w:val="Hyperlink"/>
          <w:rFonts w:ascii="Segoe UI"/>
          <w:sz w:val="18"/>
        </w:rPr>
        <w:t>1/8712</w:t>
      </w:r>
    </w:hyperlink>
  </w:p>
  <w:p w14:paraId="66CD3604" w14:textId="77777777" w:rsidR="00112262" w:rsidRDefault="00112262">
    <w:pPr>
      <w:pStyle w:val="BodyText"/>
      <w:spacing w:line="14" w:lineRule="auto"/>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81E2" w14:textId="77777777" w:rsidR="000A17DA" w:rsidRDefault="000A17D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55777" w14:textId="481F1F5E" w:rsidR="00112262" w:rsidRDefault="008D547E">
    <w:pPr>
      <w:pStyle w:val="BodyText"/>
      <w:spacing w:line="14" w:lineRule="auto"/>
      <w:jc w:val="left"/>
      <w:rPr>
        <w:sz w:val="20"/>
      </w:rPr>
    </w:pPr>
    <w:r>
      <w:rPr>
        <w:noProof/>
        <w:lang w:bidi="ar-SA"/>
      </w:rPr>
      <mc:AlternateContent>
        <mc:Choice Requires="wps">
          <w:drawing>
            <wp:anchor distT="0" distB="0" distL="114300" distR="114300" simplePos="0" relativeHeight="251655680" behindDoc="1" locked="0" layoutInCell="1" allowOverlap="1" wp14:anchorId="5BBC8E3B" wp14:editId="34B6674C">
              <wp:simplePos x="0" y="0"/>
              <wp:positionH relativeFrom="page">
                <wp:posOffset>707571</wp:posOffset>
              </wp:positionH>
              <wp:positionV relativeFrom="page">
                <wp:posOffset>789214</wp:posOffset>
              </wp:positionV>
              <wp:extent cx="3695700" cy="190409"/>
              <wp:effectExtent l="0" t="0" r="0" b="6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90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91DA7" w14:textId="77777777" w:rsidR="008D547E" w:rsidRPr="008D547E" w:rsidRDefault="008D547E" w:rsidP="008D547E">
                          <w:pPr>
                            <w:pStyle w:val="Header"/>
                            <w:rPr>
                              <w:i/>
                              <w:iCs/>
                              <w:sz w:val="18"/>
                              <w:szCs w:val="18"/>
                            </w:rPr>
                          </w:pPr>
                          <w:proofErr w:type="spellStart"/>
                          <w:r w:rsidRPr="008D547E">
                            <w:rPr>
                              <w:i/>
                              <w:iCs/>
                              <w:sz w:val="18"/>
                              <w:szCs w:val="18"/>
                            </w:rPr>
                            <w:t>Hermita</w:t>
                          </w:r>
                          <w:proofErr w:type="spellEnd"/>
                          <w:r w:rsidRPr="008D547E">
                            <w:rPr>
                              <w:i/>
                              <w:iCs/>
                              <w:sz w:val="18"/>
                              <w:szCs w:val="18"/>
                            </w:rPr>
                            <w:t xml:space="preserve"> et al</w:t>
                          </w:r>
                          <w:r w:rsidRPr="008D547E">
                            <w:rPr>
                              <w:sz w:val="18"/>
                              <w:szCs w:val="18"/>
                            </w:rPr>
                            <w:t>.</w:t>
                          </w:r>
                          <w:r w:rsidRPr="008D547E">
                            <w:rPr>
                              <w:sz w:val="18"/>
                              <w:szCs w:val="18"/>
                              <w:lang w:val="id-ID"/>
                            </w:rPr>
                            <w:t>/</w:t>
                          </w:r>
                          <w:r w:rsidRPr="008D547E">
                            <w:rPr>
                              <w:rFonts w:ascii="Segoe UI" w:hAnsi="Segoe UI"/>
                              <w:sz w:val="18"/>
                              <w:szCs w:val="18"/>
                              <w:lang w:val="en-GB"/>
                            </w:rPr>
                            <w:t xml:space="preserve"> </w:t>
                          </w:r>
                          <w:r w:rsidRPr="008D547E">
                            <w:rPr>
                              <w:i/>
                              <w:iCs/>
                              <w:sz w:val="18"/>
                              <w:szCs w:val="18"/>
                              <w:lang w:val="en-GB"/>
                            </w:rPr>
                            <w:t>Community of Practice</w:t>
                          </w:r>
                          <w:r w:rsidRPr="008D547E">
                            <w:rPr>
                              <w:i/>
                              <w:iCs/>
                              <w:sz w:val="18"/>
                              <w:szCs w:val="18"/>
                            </w:rPr>
                            <w:t>, Teacher Performance, Primary Schools</w:t>
                          </w:r>
                        </w:p>
                        <w:p w14:paraId="1BDEDA5E" w14:textId="46F7F0AE" w:rsidR="00112262" w:rsidRDefault="00112262">
                          <w:pPr>
                            <w:spacing w:before="19"/>
                            <w:ind w:left="20"/>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C8E3B" id="_x0000_t202" coordsize="21600,21600" o:spt="202" path="m,l,21600r21600,l21600,xe">
              <v:stroke joinstyle="miter"/>
              <v:path gradientshapeok="t" o:connecttype="rect"/>
            </v:shapetype>
            <v:shape id="Text Box 1" o:spid="_x0000_s1026" type="#_x0000_t202" style="position:absolute;margin-left:55.7pt;margin-top:62.15pt;width:291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" filled="f" stroked="f">
              <v:textbox inset="0,0,0,0">
                <w:txbxContent>
                  <w:p w14:paraId="30D91DA7" w14:textId="77777777" w:rsidR="008D547E" w:rsidRPr="008D547E" w:rsidRDefault="008D547E" w:rsidP="008D547E">
                    <w:pPr>
                      <w:pStyle w:val="Header"/>
                      <w:rPr>
                        <w:i/>
                        <w:iCs/>
                        <w:sz w:val="18"/>
                        <w:szCs w:val="18"/>
                      </w:rPr>
                    </w:pPr>
                    <w:proofErr w:type="spellStart"/>
                    <w:r w:rsidRPr="008D547E">
                      <w:rPr>
                        <w:i/>
                        <w:iCs/>
                        <w:sz w:val="18"/>
                        <w:szCs w:val="18"/>
                      </w:rPr>
                      <w:t>Hermita</w:t>
                    </w:r>
                    <w:proofErr w:type="spellEnd"/>
                    <w:r w:rsidRPr="008D547E">
                      <w:rPr>
                        <w:i/>
                        <w:iCs/>
                        <w:sz w:val="18"/>
                        <w:szCs w:val="18"/>
                      </w:rPr>
                      <w:t xml:space="preserve"> et al</w:t>
                    </w:r>
                    <w:r w:rsidRPr="008D547E">
                      <w:rPr>
                        <w:sz w:val="18"/>
                        <w:szCs w:val="18"/>
                      </w:rPr>
                      <w:t>.</w:t>
                    </w:r>
                    <w:r w:rsidRPr="008D547E">
                      <w:rPr>
                        <w:sz w:val="18"/>
                        <w:szCs w:val="18"/>
                        <w:lang w:val="id-ID"/>
                      </w:rPr>
                      <w:t>/</w:t>
                    </w:r>
                    <w:r w:rsidRPr="008D547E">
                      <w:rPr>
                        <w:rFonts w:ascii="Segoe UI" w:hAnsi="Segoe UI"/>
                        <w:sz w:val="18"/>
                        <w:szCs w:val="18"/>
                        <w:lang w:val="en-GB"/>
                      </w:rPr>
                      <w:t xml:space="preserve"> </w:t>
                    </w:r>
                    <w:r w:rsidRPr="008D547E">
                      <w:rPr>
                        <w:i/>
                        <w:iCs/>
                        <w:sz w:val="18"/>
                        <w:szCs w:val="18"/>
                        <w:lang w:val="en-GB"/>
                      </w:rPr>
                      <w:t>Community of Practice</w:t>
                    </w:r>
                    <w:r w:rsidRPr="008D547E">
                      <w:rPr>
                        <w:i/>
                        <w:iCs/>
                        <w:sz w:val="18"/>
                        <w:szCs w:val="18"/>
                      </w:rPr>
                      <w:t>, Teacher Performance, Primary Schools</w:t>
                    </w:r>
                  </w:p>
                  <w:p w14:paraId="1BDEDA5E" w14:textId="46F7F0AE" w:rsidR="00112262" w:rsidRDefault="00112262">
                    <w:pPr>
                      <w:spacing w:before="19"/>
                      <w:ind w:left="20"/>
                      <w:rPr>
                        <w:i/>
                        <w:sz w:val="18"/>
                      </w:rPr>
                    </w:pPr>
                  </w:p>
                </w:txbxContent>
              </v:textbox>
              <w10:wrap anchorx="page" anchory="page"/>
            </v:shape>
          </w:pict>
        </mc:Fallback>
      </mc:AlternateContent>
    </w:r>
    <w:r w:rsidR="00112262">
      <w:rPr>
        <w:noProof/>
        <w:lang w:bidi="ar-SA"/>
      </w:rPr>
      <mc:AlternateContent>
        <mc:Choice Requires="wps">
          <w:drawing>
            <wp:anchor distT="0" distB="0" distL="114300" distR="114300" simplePos="0" relativeHeight="251654656" behindDoc="1" locked="0" layoutInCell="1" allowOverlap="1" wp14:anchorId="0797BB9E" wp14:editId="54A59F4E">
              <wp:simplePos x="0" y="0"/>
              <wp:positionH relativeFrom="page">
                <wp:posOffset>701040</wp:posOffset>
              </wp:positionH>
              <wp:positionV relativeFrom="page">
                <wp:posOffset>955675</wp:posOffset>
              </wp:positionV>
              <wp:extent cx="57975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5857B" id="Line 2"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5.25pt" to="511.7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bV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" strokeweight=".72pt">
              <w10:wrap anchorx="page" anchory="page"/>
            </v:lin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E90CC" w14:textId="77777777" w:rsidR="00112262" w:rsidRDefault="00112262">
    <w:pPr>
      <w:pStyle w:val="BodyText"/>
      <w:spacing w:line="14" w:lineRule="auto"/>
      <w:jc w:val="left"/>
      <w:rPr>
        <w:sz w:val="20"/>
      </w:rPr>
    </w:pPr>
    <w:r>
      <w:rPr>
        <w:noProof/>
        <w:lang w:bidi="ar-SA"/>
      </w:rPr>
      <mc:AlternateContent>
        <mc:Choice Requires="wps">
          <w:drawing>
            <wp:anchor distT="0" distB="0" distL="114300" distR="114300" simplePos="0" relativeHeight="251652608" behindDoc="1" locked="0" layoutInCell="1" allowOverlap="1" wp14:anchorId="5890350F" wp14:editId="70DD6539">
              <wp:simplePos x="0" y="0"/>
              <wp:positionH relativeFrom="page">
                <wp:posOffset>1062355</wp:posOffset>
              </wp:positionH>
              <wp:positionV relativeFrom="page">
                <wp:posOffset>955675</wp:posOffset>
              </wp:positionV>
              <wp:extent cx="579691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8B178" id="Line 4"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5.25pt" to="540.1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IV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" strokeweight=".72pt">
              <w10:wrap anchorx="page" anchory="page"/>
            </v:line>
          </w:pict>
        </mc:Fallback>
      </mc:AlternateContent>
    </w:r>
    <w:r>
      <w:rPr>
        <w:noProof/>
        <w:lang w:bidi="ar-SA"/>
      </w:rPr>
      <mc:AlternateContent>
        <mc:Choice Requires="wps">
          <w:drawing>
            <wp:anchor distT="0" distB="0" distL="114300" distR="114300" simplePos="0" relativeHeight="251653632" behindDoc="1" locked="0" layoutInCell="1" allowOverlap="1" wp14:anchorId="377F67BF" wp14:editId="78813F81">
              <wp:simplePos x="0" y="0"/>
              <wp:positionH relativeFrom="page">
                <wp:posOffset>5205730</wp:posOffset>
              </wp:positionH>
              <wp:positionV relativeFrom="page">
                <wp:posOffset>788670</wp:posOffset>
              </wp:positionV>
              <wp:extent cx="1649095" cy="16319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B3B0D" w14:textId="77777777" w:rsidR="00112262" w:rsidRDefault="00257AC9"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F67BF" id="_x0000_t202" coordsize="21600,21600" o:spt="202" path="m,l,21600r21600,l21600,xe">
              <v:stroke joinstyle="miter"/>
              <v:path gradientshapeok="t" o:connecttype="rect"/>
            </v:shapetype>
            <v:shape id="Text Box 3" o:spid="_x0000_s1027" type="#_x0000_t202" style="position:absolute;margin-left:409.9pt;margin-top:62.1pt;width:129.85pt;height:12.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RLrgIAALA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" filled="f" stroked="f">
              <v:textbox inset="0,0,0,0">
                <w:txbxContent>
                  <w:p w14:paraId="7C9B3B0D" w14:textId="77777777" w:rsidR="00112262" w:rsidRDefault="00257AC9" w:rsidP="00257AC9">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NTE2NDM0NDcytDRW0lEKTi0uzszPAykwrgUAwxwyoywAAAA="/>
  </w:docVars>
  <w:rsids>
    <w:rsidRoot w:val="009A06C2"/>
    <w:rsid w:val="000A17DA"/>
    <w:rsid w:val="000D2018"/>
    <w:rsid w:val="001018D4"/>
    <w:rsid w:val="00112262"/>
    <w:rsid w:val="001143CD"/>
    <w:rsid w:val="00180258"/>
    <w:rsid w:val="001A192D"/>
    <w:rsid w:val="001A31F2"/>
    <w:rsid w:val="002441CC"/>
    <w:rsid w:val="00257AC9"/>
    <w:rsid w:val="002B5E19"/>
    <w:rsid w:val="00334846"/>
    <w:rsid w:val="00351C08"/>
    <w:rsid w:val="003548F0"/>
    <w:rsid w:val="003A017F"/>
    <w:rsid w:val="003F4A85"/>
    <w:rsid w:val="0042072E"/>
    <w:rsid w:val="004420E9"/>
    <w:rsid w:val="00487DFB"/>
    <w:rsid w:val="00515179"/>
    <w:rsid w:val="005423E2"/>
    <w:rsid w:val="00542E83"/>
    <w:rsid w:val="006125F9"/>
    <w:rsid w:val="00626CDC"/>
    <w:rsid w:val="006D6601"/>
    <w:rsid w:val="007006EC"/>
    <w:rsid w:val="007144B3"/>
    <w:rsid w:val="00716F8B"/>
    <w:rsid w:val="007E0524"/>
    <w:rsid w:val="008A68C1"/>
    <w:rsid w:val="008C232A"/>
    <w:rsid w:val="008D1FEA"/>
    <w:rsid w:val="008D547E"/>
    <w:rsid w:val="008F29EE"/>
    <w:rsid w:val="00956460"/>
    <w:rsid w:val="009731DE"/>
    <w:rsid w:val="009A06C2"/>
    <w:rsid w:val="009A190B"/>
    <w:rsid w:val="00A15F9B"/>
    <w:rsid w:val="00A93461"/>
    <w:rsid w:val="00B70997"/>
    <w:rsid w:val="00BF1CCF"/>
    <w:rsid w:val="00C305A8"/>
    <w:rsid w:val="00CB7C1D"/>
    <w:rsid w:val="00CC0C84"/>
    <w:rsid w:val="00CE0CA6"/>
    <w:rsid w:val="00CF52C2"/>
    <w:rsid w:val="00D10A95"/>
    <w:rsid w:val="00D71452"/>
    <w:rsid w:val="00DD13D9"/>
    <w:rsid w:val="00DF5024"/>
    <w:rsid w:val="00DF77C2"/>
    <w:rsid w:val="00E0150E"/>
    <w:rsid w:val="00EF0317"/>
    <w:rsid w:val="00F23D8A"/>
    <w:rsid w:val="00F37C85"/>
    <w:rsid w:val="00F4472A"/>
    <w:rsid w:val="00F971B4"/>
    <w:rsid w:val="00FB00BB"/>
    <w:rsid w:val="00FC36C6"/>
    <w:rsid w:val="00FE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74C35"/>
  <w15:docId w15:val="{99B292F8-C48A-4CA9-AE3A-D38CA012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F4A8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3F4A8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
    <w:name w:val="Unresolved Mention1"/>
    <w:basedOn w:val="DefaultParagraphFont"/>
    <w:uiPriority w:val="99"/>
    <w:semiHidden/>
    <w:unhideWhenUsed/>
    <w:rsid w:val="00626CDC"/>
    <w:rPr>
      <w:color w:val="605E5C"/>
      <w:shd w:val="clear" w:color="auto" w:fill="E1DFDD"/>
    </w:rPr>
  </w:style>
  <w:style w:type="character" w:styleId="FollowedHyperlink">
    <w:name w:val="FollowedHyperlink"/>
    <w:basedOn w:val="DefaultParagraphFont"/>
    <w:uiPriority w:val="99"/>
    <w:semiHidden/>
    <w:unhideWhenUsed/>
    <w:rsid w:val="00626CDC"/>
    <w:rPr>
      <w:color w:val="800080" w:themeColor="followedHyperlink"/>
      <w:u w:val="single"/>
    </w:rPr>
  </w:style>
  <w:style w:type="character" w:customStyle="1" w:styleId="UnresolvedMention">
    <w:name w:val="Unresolved Mention"/>
    <w:basedOn w:val="DefaultParagraphFont"/>
    <w:uiPriority w:val="99"/>
    <w:semiHidden/>
    <w:unhideWhenUsed/>
    <w:rsid w:val="00CB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doi.org/10.30595/Dinamika/v13i21/8712"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3586F-FF9B-4952-9D08-0ABEE2C3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11922</Words>
  <Characters>67956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HP</cp:lastModifiedBy>
  <cp:revision>5</cp:revision>
  <cp:lastPrinted>2019-10-09T04:05:00Z</cp:lastPrinted>
  <dcterms:created xsi:type="dcterms:W3CDTF">2021-03-31T10:59:00Z</dcterms:created>
  <dcterms:modified xsi:type="dcterms:W3CDTF">2021-03-31T14:48:00Z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http://www.zotero.org/styles/iop-conference-series-materials-science-and-engineering</vt:lpwstr>
  </property>
  <property fmtid="{D5CDD505-2E9C-101B-9397-08002B2CF9AE}" pid="18" name="Mendeley Recent Style Name 6_1">
    <vt:lpwstr>IOP Conference Series: Materials Science and Engineering</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Citation Style_1">
    <vt:lpwstr>http://www.zotero.org/styles/ieee</vt:lpwstr>
  </property>
  <property fmtid="{D5CDD505-2E9C-101B-9397-08002B2CF9AE}" pid="26" name="Mendeley Document_1">
    <vt:lpwstr>True</vt:lpwstr>
  </property>
  <property fmtid="{D5CDD505-2E9C-101B-9397-08002B2CF9AE}" pid="27" name="Mendeley Unique User Id_1">
    <vt:lpwstr>68dcaf7a-a6ba-3275-9e5e-7ae34147de4b</vt:lpwstr>
  </property>
</Properties>
</file>