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657D" w14:textId="1BBFDB24" w:rsidR="00446013" w:rsidRPr="00E20E49" w:rsidRDefault="00446013" w:rsidP="00E20E49">
      <w:pPr>
        <w:spacing w:after="0" w:line="360" w:lineRule="auto"/>
        <w:jc w:val="center"/>
        <w:rPr>
          <w:rFonts w:ascii="Times New Roman" w:hAnsi="Times New Roman" w:cs="Times New Roman"/>
          <w:b/>
          <w:sz w:val="24"/>
          <w:szCs w:val="24"/>
          <w:lang w:val="en-US" w:eastAsia="id-ID"/>
        </w:rPr>
      </w:pPr>
      <w:r w:rsidRPr="00E20E49">
        <w:rPr>
          <w:rFonts w:ascii="Times New Roman" w:hAnsi="Times New Roman" w:cs="Times New Roman"/>
          <w:b/>
          <w:sz w:val="24"/>
          <w:szCs w:val="24"/>
          <w:lang w:val="en-US" w:eastAsia="id-ID"/>
        </w:rPr>
        <w:t xml:space="preserve">Status </w:t>
      </w:r>
      <w:proofErr w:type="spellStart"/>
      <w:r w:rsidR="00DC7A93">
        <w:rPr>
          <w:rFonts w:ascii="Times New Roman" w:hAnsi="Times New Roman" w:cs="Times New Roman"/>
          <w:b/>
          <w:sz w:val="24"/>
          <w:szCs w:val="24"/>
          <w:lang w:val="en-US" w:eastAsia="id-ID"/>
        </w:rPr>
        <w:t>Sel</w:t>
      </w:r>
      <w:proofErr w:type="spellEnd"/>
      <w:r w:rsidR="00DC7A93">
        <w:rPr>
          <w:rFonts w:ascii="Times New Roman" w:hAnsi="Times New Roman" w:cs="Times New Roman"/>
          <w:b/>
          <w:sz w:val="24"/>
          <w:szCs w:val="24"/>
          <w:lang w:val="en-US" w:eastAsia="id-ID"/>
        </w:rPr>
        <w:t xml:space="preserve"> </w:t>
      </w:r>
      <w:proofErr w:type="spellStart"/>
      <w:r w:rsidR="00DC7A93">
        <w:rPr>
          <w:rFonts w:ascii="Times New Roman" w:hAnsi="Times New Roman" w:cs="Times New Roman"/>
          <w:b/>
          <w:sz w:val="24"/>
          <w:szCs w:val="24"/>
          <w:lang w:val="en-US" w:eastAsia="id-ID"/>
        </w:rPr>
        <w:t>Inflamasi</w:t>
      </w:r>
      <w:proofErr w:type="spellEnd"/>
      <w:r w:rsidRPr="00E20E49">
        <w:rPr>
          <w:rFonts w:ascii="Times New Roman" w:hAnsi="Times New Roman" w:cs="Times New Roman"/>
          <w:b/>
          <w:sz w:val="24"/>
          <w:szCs w:val="24"/>
          <w:lang w:val="en-US" w:eastAsia="id-ID"/>
        </w:rPr>
        <w:t xml:space="preserve"> dan Stadium </w:t>
      </w:r>
      <w:proofErr w:type="spellStart"/>
      <w:r w:rsidRPr="00E20E49">
        <w:rPr>
          <w:rFonts w:ascii="Times New Roman" w:hAnsi="Times New Roman" w:cs="Times New Roman"/>
          <w:b/>
          <w:sz w:val="24"/>
          <w:szCs w:val="24"/>
          <w:lang w:val="en-US" w:eastAsia="id-ID"/>
        </w:rPr>
        <w:t>Kanker</w:t>
      </w:r>
      <w:proofErr w:type="spellEnd"/>
      <w:r w:rsidRPr="00E20E49">
        <w:rPr>
          <w:rFonts w:ascii="Times New Roman" w:hAnsi="Times New Roman" w:cs="Times New Roman"/>
          <w:b/>
          <w:sz w:val="24"/>
          <w:szCs w:val="24"/>
          <w:lang w:val="en-US" w:eastAsia="id-ID"/>
        </w:rPr>
        <w:t xml:space="preserve"> </w:t>
      </w:r>
      <w:proofErr w:type="spellStart"/>
      <w:r w:rsidRPr="00E20E49">
        <w:rPr>
          <w:rFonts w:ascii="Times New Roman" w:hAnsi="Times New Roman" w:cs="Times New Roman"/>
          <w:b/>
          <w:sz w:val="24"/>
          <w:szCs w:val="24"/>
          <w:lang w:val="en-US" w:eastAsia="id-ID"/>
        </w:rPr>
        <w:t>Nasofaring</w:t>
      </w:r>
      <w:proofErr w:type="spellEnd"/>
      <w:r w:rsidRPr="00E20E49">
        <w:rPr>
          <w:rFonts w:ascii="Times New Roman" w:hAnsi="Times New Roman" w:cs="Times New Roman"/>
          <w:b/>
          <w:sz w:val="24"/>
          <w:szCs w:val="24"/>
          <w:lang w:val="en-US" w:eastAsia="id-ID"/>
        </w:rPr>
        <w:t xml:space="preserve"> </w:t>
      </w:r>
    </w:p>
    <w:p w14:paraId="30B6F7AC" w14:textId="5D24FFAD" w:rsidR="00446013" w:rsidRPr="00E20E49" w:rsidRDefault="00446013" w:rsidP="00E20E49">
      <w:pPr>
        <w:spacing w:after="0" w:line="360" w:lineRule="auto"/>
        <w:jc w:val="center"/>
        <w:rPr>
          <w:rFonts w:ascii="Times New Roman" w:eastAsia="Times New Roman" w:hAnsi="Times New Roman" w:cs="Times New Roman"/>
          <w:b/>
          <w:color w:val="000000"/>
          <w:sz w:val="23"/>
          <w:lang w:val="en-US"/>
        </w:rPr>
      </w:pPr>
      <w:r w:rsidRPr="00E20E49">
        <w:rPr>
          <w:rFonts w:ascii="Times New Roman" w:hAnsi="Times New Roman" w:cs="Times New Roman"/>
          <w:b/>
          <w:sz w:val="24"/>
          <w:szCs w:val="24"/>
          <w:lang w:val="en-US" w:eastAsia="id-ID"/>
        </w:rPr>
        <w:t>di RS PKU Muhammadiyah Gombong</w:t>
      </w:r>
      <w:r w:rsidRPr="00E20E49">
        <w:rPr>
          <w:rFonts w:ascii="Times New Roman" w:hAnsi="Times New Roman" w:cs="Times New Roman"/>
          <w:b/>
          <w:sz w:val="24"/>
          <w:szCs w:val="24"/>
          <w:lang w:val="zh-CN" w:eastAsia="id-ID"/>
        </w:rPr>
        <w:t xml:space="preserve">  </w:t>
      </w:r>
    </w:p>
    <w:p w14:paraId="3BD04E56" w14:textId="77777777" w:rsidR="00446013" w:rsidRPr="00E20E49" w:rsidRDefault="00446013" w:rsidP="00E20E49">
      <w:pPr>
        <w:spacing w:after="0" w:line="360" w:lineRule="auto"/>
        <w:jc w:val="center"/>
        <w:rPr>
          <w:rFonts w:ascii="Times New Roman" w:eastAsia="Times New Roman" w:hAnsi="Times New Roman" w:cs="Times New Roman"/>
          <w:b/>
          <w:color w:val="000000"/>
          <w:sz w:val="23"/>
          <w:lang w:val="en-US"/>
        </w:rPr>
      </w:pPr>
    </w:p>
    <w:p w14:paraId="535797D0" w14:textId="243BD2C0" w:rsidR="00446013" w:rsidRPr="00E20E49" w:rsidRDefault="00446013" w:rsidP="00E20E49">
      <w:pPr>
        <w:spacing w:after="0" w:line="360" w:lineRule="auto"/>
        <w:jc w:val="center"/>
        <w:rPr>
          <w:rFonts w:ascii="Times New Roman" w:eastAsia="Times New Roman" w:hAnsi="Times New Roman" w:cs="Times New Roman"/>
          <w:b/>
          <w:color w:val="000000"/>
          <w:sz w:val="23"/>
          <w:lang w:val="en-US"/>
        </w:rPr>
      </w:pPr>
      <w:r w:rsidRPr="00E20E49">
        <w:rPr>
          <w:rFonts w:ascii="Times New Roman" w:eastAsia="Times New Roman" w:hAnsi="Times New Roman" w:cs="Times New Roman"/>
          <w:b/>
          <w:color w:val="000000"/>
          <w:sz w:val="23"/>
          <w:lang w:val="en-US"/>
        </w:rPr>
        <w:t>Oke Kadarullah</w:t>
      </w:r>
      <w:r w:rsidR="001C3461" w:rsidRPr="001C3461">
        <w:rPr>
          <w:rFonts w:ascii="Times New Roman" w:eastAsia="Times New Roman" w:hAnsi="Times New Roman" w:cs="Times New Roman"/>
          <w:b/>
          <w:color w:val="000000"/>
          <w:sz w:val="23"/>
          <w:vertAlign w:val="superscript"/>
          <w:lang w:val="en-US"/>
        </w:rPr>
        <w:t>1,2</w:t>
      </w:r>
      <w:r w:rsidR="00AF7CED">
        <w:rPr>
          <w:rFonts w:ascii="Times New Roman" w:eastAsia="Times New Roman" w:hAnsi="Times New Roman" w:cs="Times New Roman"/>
          <w:b/>
          <w:color w:val="000000"/>
          <w:sz w:val="23"/>
          <w:lang w:val="en-US"/>
        </w:rPr>
        <w:t xml:space="preserve">, M. </w:t>
      </w:r>
      <w:proofErr w:type="spellStart"/>
      <w:r w:rsidR="001C3461">
        <w:rPr>
          <w:rFonts w:ascii="Times New Roman" w:eastAsia="Times New Roman" w:hAnsi="Times New Roman" w:cs="Times New Roman"/>
          <w:b/>
          <w:color w:val="000000"/>
          <w:sz w:val="23"/>
          <w:lang w:val="en-US"/>
        </w:rPr>
        <w:t>Nurr</w:t>
      </w:r>
      <w:r w:rsidR="00AF7CED">
        <w:rPr>
          <w:rFonts w:ascii="Times New Roman" w:eastAsia="Times New Roman" w:hAnsi="Times New Roman" w:cs="Times New Roman"/>
          <w:b/>
          <w:color w:val="000000"/>
          <w:sz w:val="23"/>
          <w:lang w:val="en-US"/>
        </w:rPr>
        <w:t>izki</w:t>
      </w:r>
      <w:proofErr w:type="spellEnd"/>
      <w:r w:rsidR="00AF7CED">
        <w:rPr>
          <w:rFonts w:ascii="Times New Roman" w:eastAsia="Times New Roman" w:hAnsi="Times New Roman" w:cs="Times New Roman"/>
          <w:b/>
          <w:color w:val="000000"/>
          <w:sz w:val="23"/>
          <w:lang w:val="en-US"/>
        </w:rPr>
        <w:t xml:space="preserve"> Ha</w:t>
      </w:r>
      <w:r w:rsidR="001C3461">
        <w:rPr>
          <w:rFonts w:ascii="Times New Roman" w:eastAsia="Times New Roman" w:hAnsi="Times New Roman" w:cs="Times New Roman"/>
          <w:b/>
          <w:color w:val="000000"/>
          <w:sz w:val="23"/>
          <w:lang w:val="en-US"/>
        </w:rPr>
        <w:t>i</w:t>
      </w:r>
      <w:r w:rsidR="00AF7CED">
        <w:rPr>
          <w:rFonts w:ascii="Times New Roman" w:eastAsia="Times New Roman" w:hAnsi="Times New Roman" w:cs="Times New Roman"/>
          <w:b/>
          <w:color w:val="000000"/>
          <w:sz w:val="23"/>
          <w:lang w:val="en-US"/>
        </w:rPr>
        <w:t>tamy</w:t>
      </w:r>
      <w:r w:rsidR="001C3461" w:rsidRPr="001C3461">
        <w:rPr>
          <w:rFonts w:ascii="Times New Roman" w:eastAsia="Times New Roman" w:hAnsi="Times New Roman" w:cs="Times New Roman"/>
          <w:b/>
          <w:color w:val="000000"/>
          <w:sz w:val="23"/>
          <w:vertAlign w:val="superscript"/>
          <w:lang w:val="en-US"/>
        </w:rPr>
        <w:t>1,3</w:t>
      </w:r>
      <w:r w:rsidR="00AF7CED">
        <w:rPr>
          <w:rFonts w:ascii="Times New Roman" w:eastAsia="Times New Roman" w:hAnsi="Times New Roman" w:cs="Times New Roman"/>
          <w:b/>
          <w:color w:val="000000"/>
          <w:sz w:val="23"/>
          <w:lang w:val="en-US"/>
        </w:rPr>
        <w:t xml:space="preserve">, </w:t>
      </w:r>
      <w:r w:rsidR="001C3461">
        <w:rPr>
          <w:rFonts w:ascii="Times New Roman" w:eastAsia="Times New Roman" w:hAnsi="Times New Roman" w:cs="Times New Roman"/>
          <w:b/>
          <w:color w:val="000000"/>
          <w:sz w:val="23"/>
          <w:lang w:val="en-US"/>
        </w:rPr>
        <w:t xml:space="preserve">Andi M. </w:t>
      </w:r>
      <w:r w:rsidR="00AF7CED">
        <w:rPr>
          <w:rFonts w:ascii="Times New Roman" w:eastAsia="Times New Roman" w:hAnsi="Times New Roman" w:cs="Times New Roman"/>
          <w:b/>
          <w:color w:val="000000"/>
          <w:sz w:val="23"/>
          <w:lang w:val="en-US"/>
        </w:rPr>
        <w:t>Maulana</w:t>
      </w:r>
      <w:r w:rsidR="001C3461" w:rsidRPr="001C3461">
        <w:rPr>
          <w:rFonts w:ascii="Times New Roman" w:eastAsia="Times New Roman" w:hAnsi="Times New Roman" w:cs="Times New Roman"/>
          <w:b/>
          <w:color w:val="000000"/>
          <w:sz w:val="23"/>
          <w:vertAlign w:val="superscript"/>
          <w:lang w:val="en-US"/>
        </w:rPr>
        <w:t>4</w:t>
      </w:r>
    </w:p>
    <w:p w14:paraId="75F23229" w14:textId="77777777" w:rsidR="001C3461" w:rsidRDefault="001C3461" w:rsidP="003B6F80">
      <w:pPr>
        <w:spacing w:after="0" w:line="240" w:lineRule="auto"/>
        <w:jc w:val="both"/>
        <w:rPr>
          <w:rFonts w:ascii="Times New Roman" w:eastAsia="Times New Roman" w:hAnsi="Times New Roman" w:cs="Times New Roman"/>
          <w:color w:val="000000"/>
          <w:lang w:val="en-US"/>
        </w:rPr>
      </w:pPr>
      <w:r w:rsidRPr="001C3461">
        <w:rPr>
          <w:rFonts w:ascii="Times New Roman" w:eastAsia="Times New Roman" w:hAnsi="Times New Roman" w:cs="Times New Roman"/>
          <w:color w:val="000000"/>
          <w:vertAlign w:val="superscript"/>
        </w:rPr>
        <w:t>1</w:t>
      </w:r>
      <w:r w:rsidR="00446013" w:rsidRPr="003B6F80">
        <w:rPr>
          <w:rFonts w:ascii="Times New Roman" w:eastAsia="Times New Roman" w:hAnsi="Times New Roman" w:cs="Times New Roman"/>
          <w:color w:val="000000"/>
        </w:rPr>
        <w:t xml:space="preserve">Bagian/SMF </w:t>
      </w:r>
      <w:proofErr w:type="spellStart"/>
      <w:r w:rsidR="00446013" w:rsidRPr="003B6F80">
        <w:rPr>
          <w:rFonts w:ascii="Times New Roman" w:eastAsia="Times New Roman" w:hAnsi="Times New Roman" w:cs="Times New Roman"/>
          <w:color w:val="000000"/>
        </w:rPr>
        <w:t>Ilmu</w:t>
      </w:r>
      <w:proofErr w:type="spellEnd"/>
      <w:r w:rsidR="00446013" w:rsidRPr="003B6F80">
        <w:rPr>
          <w:rFonts w:ascii="Times New Roman" w:eastAsia="Times New Roman" w:hAnsi="Times New Roman" w:cs="Times New Roman"/>
          <w:color w:val="000000"/>
          <w:lang w:val="en-US"/>
        </w:rPr>
        <w:t xml:space="preserve"> </w:t>
      </w:r>
      <w:r w:rsidR="00446013" w:rsidRPr="003B6F80">
        <w:rPr>
          <w:rFonts w:ascii="Times New Roman" w:eastAsia="Times New Roman" w:hAnsi="Times New Roman" w:cs="Times New Roman"/>
          <w:color w:val="000000"/>
        </w:rPr>
        <w:t xml:space="preserve">Kesehatan THT-KL </w:t>
      </w:r>
      <w:proofErr w:type="spellStart"/>
      <w:r w:rsidR="00446013" w:rsidRPr="003B6F80">
        <w:rPr>
          <w:rFonts w:ascii="Times New Roman" w:eastAsia="Times New Roman" w:hAnsi="Times New Roman" w:cs="Times New Roman"/>
          <w:color w:val="000000"/>
        </w:rPr>
        <w:t>Fakultas</w:t>
      </w:r>
      <w:proofErr w:type="spellEnd"/>
      <w:r w:rsidR="00446013" w:rsidRPr="003B6F80">
        <w:rPr>
          <w:rFonts w:ascii="Times New Roman" w:eastAsia="Times New Roman" w:hAnsi="Times New Roman" w:cs="Times New Roman"/>
          <w:color w:val="000000"/>
          <w:lang w:val="en-US"/>
        </w:rPr>
        <w:t xml:space="preserve"> </w:t>
      </w:r>
      <w:proofErr w:type="spellStart"/>
      <w:r w:rsidR="00446013" w:rsidRPr="003B6F80">
        <w:rPr>
          <w:rFonts w:ascii="Times New Roman" w:eastAsia="Times New Roman" w:hAnsi="Times New Roman" w:cs="Times New Roman"/>
          <w:color w:val="000000"/>
        </w:rPr>
        <w:t>Kedokteran</w:t>
      </w:r>
      <w:proofErr w:type="spellEnd"/>
      <w:r w:rsidR="00AF7CED" w:rsidRPr="003B6F80">
        <w:rPr>
          <w:rFonts w:ascii="Times New Roman" w:eastAsia="Times New Roman" w:hAnsi="Times New Roman" w:cs="Times New Roman"/>
          <w:color w:val="000000"/>
        </w:rPr>
        <w:t xml:space="preserve"> </w:t>
      </w:r>
      <w:r w:rsidR="00446013" w:rsidRPr="003B6F80">
        <w:rPr>
          <w:rFonts w:ascii="Times New Roman" w:eastAsia="Times New Roman" w:hAnsi="Times New Roman" w:cs="Times New Roman"/>
          <w:color w:val="000000"/>
        </w:rPr>
        <w:t>Universitas</w:t>
      </w:r>
      <w:r w:rsidR="00446013" w:rsidRPr="003B6F80">
        <w:rPr>
          <w:rFonts w:ascii="Times New Roman" w:eastAsia="Times New Roman" w:hAnsi="Times New Roman" w:cs="Times New Roman"/>
          <w:color w:val="000000"/>
          <w:lang w:val="en-US"/>
        </w:rPr>
        <w:t xml:space="preserve"> Muhammadiyah Purwokerto</w:t>
      </w:r>
    </w:p>
    <w:p w14:paraId="6530FE36" w14:textId="77777777" w:rsidR="001C3461" w:rsidRDefault="001C3461" w:rsidP="003B6F80">
      <w:pPr>
        <w:spacing w:after="0" w:line="240" w:lineRule="auto"/>
        <w:jc w:val="both"/>
        <w:rPr>
          <w:rFonts w:ascii="Times New Roman" w:eastAsia="Times New Roman" w:hAnsi="Times New Roman" w:cs="Times New Roman"/>
          <w:color w:val="000000"/>
          <w:lang w:val="en-US"/>
        </w:rPr>
      </w:pPr>
      <w:r w:rsidRPr="001C3461">
        <w:rPr>
          <w:rFonts w:ascii="Times New Roman" w:eastAsia="Times New Roman" w:hAnsi="Times New Roman" w:cs="Times New Roman"/>
          <w:color w:val="000000"/>
          <w:vertAlign w:val="superscript"/>
        </w:rPr>
        <w:t>2</w:t>
      </w:r>
      <w:r w:rsidR="00446013" w:rsidRPr="003B6F80">
        <w:rPr>
          <w:rFonts w:ascii="Times New Roman" w:eastAsia="Times New Roman" w:hAnsi="Times New Roman" w:cs="Times New Roman"/>
          <w:color w:val="000000"/>
        </w:rPr>
        <w:t>RS</w:t>
      </w:r>
      <w:r w:rsidR="00446013" w:rsidRPr="003B6F80">
        <w:rPr>
          <w:rFonts w:ascii="Times New Roman" w:eastAsia="Times New Roman" w:hAnsi="Times New Roman" w:cs="Times New Roman"/>
          <w:color w:val="000000"/>
          <w:lang w:val="en-US"/>
        </w:rPr>
        <w:t xml:space="preserve"> PKU Muhammadiyah Gombong</w:t>
      </w:r>
    </w:p>
    <w:p w14:paraId="1095E465" w14:textId="32A20575" w:rsidR="001C3461" w:rsidRDefault="001C3461" w:rsidP="003B6F80">
      <w:pPr>
        <w:spacing w:after="0" w:line="240" w:lineRule="auto"/>
        <w:jc w:val="both"/>
        <w:rPr>
          <w:rFonts w:ascii="Times New Roman" w:eastAsia="Times New Roman" w:hAnsi="Times New Roman" w:cs="Times New Roman"/>
          <w:color w:val="000000"/>
        </w:rPr>
      </w:pPr>
      <w:r w:rsidRPr="001C3461">
        <w:rPr>
          <w:rFonts w:ascii="Times New Roman" w:eastAsia="Times New Roman" w:hAnsi="Times New Roman" w:cs="Times New Roman"/>
          <w:color w:val="000000"/>
          <w:vertAlign w:val="superscript"/>
          <w:lang w:val="en-US"/>
        </w:rPr>
        <w:t>3</w:t>
      </w:r>
      <w:r w:rsidR="00AF7CED" w:rsidRPr="003B6F80">
        <w:rPr>
          <w:rFonts w:ascii="Times New Roman" w:eastAsia="Times New Roman" w:hAnsi="Times New Roman" w:cs="Times New Roman"/>
          <w:color w:val="000000"/>
        </w:rPr>
        <w:t>RS</w:t>
      </w:r>
      <w:r>
        <w:rPr>
          <w:rFonts w:ascii="Times New Roman" w:eastAsia="Times New Roman" w:hAnsi="Times New Roman" w:cs="Times New Roman"/>
          <w:color w:val="000000"/>
        </w:rPr>
        <w:t xml:space="preserve"> </w:t>
      </w:r>
      <w:r w:rsidR="00AF7CED" w:rsidRPr="003B6F80">
        <w:rPr>
          <w:rFonts w:ascii="Times New Roman" w:eastAsia="Times New Roman" w:hAnsi="Times New Roman" w:cs="Times New Roman"/>
          <w:color w:val="000000"/>
        </w:rPr>
        <w:t>I</w:t>
      </w:r>
      <w:r>
        <w:rPr>
          <w:rFonts w:ascii="Times New Roman" w:eastAsia="Times New Roman" w:hAnsi="Times New Roman" w:cs="Times New Roman"/>
          <w:color w:val="000000"/>
        </w:rPr>
        <w:t>slam</w:t>
      </w:r>
      <w:r w:rsidR="00AF7CED" w:rsidRPr="003B6F80">
        <w:rPr>
          <w:rFonts w:ascii="Times New Roman" w:eastAsia="Times New Roman" w:hAnsi="Times New Roman" w:cs="Times New Roman"/>
          <w:color w:val="000000"/>
        </w:rPr>
        <w:t xml:space="preserve"> </w:t>
      </w:r>
      <w:proofErr w:type="spellStart"/>
      <w:r w:rsidR="00AF7CED" w:rsidRPr="003B6F80">
        <w:rPr>
          <w:rFonts w:ascii="Times New Roman" w:eastAsia="Times New Roman" w:hAnsi="Times New Roman" w:cs="Times New Roman"/>
          <w:color w:val="000000"/>
        </w:rPr>
        <w:t>Purwokerto</w:t>
      </w:r>
      <w:proofErr w:type="spellEnd"/>
    </w:p>
    <w:p w14:paraId="61B8A6AD" w14:textId="2526A8CD" w:rsidR="00AF7CED" w:rsidRPr="003B6F80" w:rsidRDefault="001C3461" w:rsidP="003B6F80">
      <w:pPr>
        <w:spacing w:after="0" w:line="240" w:lineRule="auto"/>
        <w:jc w:val="both"/>
        <w:rPr>
          <w:rFonts w:ascii="Times New Roman" w:hAnsi="Times New Roman" w:cs="Times New Roman"/>
        </w:rPr>
      </w:pPr>
      <w:r w:rsidRPr="001C3461">
        <w:rPr>
          <w:rFonts w:ascii="Times New Roman" w:eastAsia="Times New Roman" w:hAnsi="Times New Roman" w:cs="Times New Roman"/>
          <w:color w:val="000000"/>
          <w:vertAlign w:val="superscript"/>
        </w:rPr>
        <w:t>4</w:t>
      </w:r>
      <w:r w:rsidR="00AF7CED" w:rsidRPr="003B6F80">
        <w:rPr>
          <w:rFonts w:ascii="Times New Roman" w:eastAsia="Times New Roman" w:hAnsi="Times New Roman" w:cs="Times New Roman"/>
          <w:color w:val="000000"/>
        </w:rPr>
        <w:t xml:space="preserve">Bagian </w:t>
      </w:r>
      <w:proofErr w:type="spellStart"/>
      <w:r w:rsidR="00AF7CED" w:rsidRPr="003B6F80">
        <w:rPr>
          <w:rFonts w:ascii="Times New Roman" w:eastAsia="Times New Roman" w:hAnsi="Times New Roman" w:cs="Times New Roman"/>
          <w:color w:val="000000"/>
        </w:rPr>
        <w:t>Anatomi</w:t>
      </w:r>
      <w:proofErr w:type="spellEnd"/>
      <w:r w:rsidR="00AF7CED" w:rsidRPr="003B6F80">
        <w:rPr>
          <w:rFonts w:ascii="Times New Roman" w:eastAsia="Times New Roman" w:hAnsi="Times New Roman" w:cs="Times New Roman"/>
          <w:color w:val="000000"/>
        </w:rPr>
        <w:t xml:space="preserve"> </w:t>
      </w:r>
      <w:proofErr w:type="spellStart"/>
      <w:r w:rsidR="00AF7CED" w:rsidRPr="003B6F80">
        <w:rPr>
          <w:rFonts w:ascii="Times New Roman" w:eastAsia="Times New Roman" w:hAnsi="Times New Roman" w:cs="Times New Roman"/>
          <w:color w:val="000000"/>
        </w:rPr>
        <w:t>Fakultas</w:t>
      </w:r>
      <w:proofErr w:type="spellEnd"/>
      <w:r w:rsidR="00AF7CED" w:rsidRPr="003B6F80">
        <w:rPr>
          <w:rFonts w:ascii="Times New Roman" w:eastAsia="Times New Roman" w:hAnsi="Times New Roman" w:cs="Times New Roman"/>
          <w:color w:val="000000"/>
          <w:lang w:val="en-US"/>
        </w:rPr>
        <w:t xml:space="preserve"> </w:t>
      </w:r>
      <w:proofErr w:type="spellStart"/>
      <w:r w:rsidR="00AF7CED" w:rsidRPr="003B6F80">
        <w:rPr>
          <w:rFonts w:ascii="Times New Roman" w:eastAsia="Times New Roman" w:hAnsi="Times New Roman" w:cs="Times New Roman"/>
          <w:color w:val="000000"/>
        </w:rPr>
        <w:t>Kedokteran</w:t>
      </w:r>
      <w:proofErr w:type="spellEnd"/>
      <w:r w:rsidR="00AF7CED" w:rsidRPr="003B6F80">
        <w:rPr>
          <w:rFonts w:ascii="Times New Roman" w:eastAsia="Times New Roman" w:hAnsi="Times New Roman" w:cs="Times New Roman"/>
          <w:color w:val="000000"/>
        </w:rPr>
        <w:t xml:space="preserve"> Universitas</w:t>
      </w:r>
      <w:r w:rsidR="00AF7CED" w:rsidRPr="003B6F80">
        <w:rPr>
          <w:rFonts w:ascii="Times New Roman" w:eastAsia="Times New Roman" w:hAnsi="Times New Roman" w:cs="Times New Roman"/>
          <w:color w:val="000000"/>
          <w:lang w:val="en-US"/>
        </w:rPr>
        <w:t xml:space="preserve"> Muhammadiyah Purwokerto</w:t>
      </w:r>
    </w:p>
    <w:p w14:paraId="55BADE9B" w14:textId="77777777" w:rsidR="00446013" w:rsidRPr="00E20E49" w:rsidRDefault="00446013" w:rsidP="00E20E49">
      <w:pPr>
        <w:tabs>
          <w:tab w:val="left" w:pos="426"/>
        </w:tabs>
        <w:spacing w:line="360" w:lineRule="auto"/>
        <w:jc w:val="both"/>
        <w:rPr>
          <w:rFonts w:ascii="Times New Roman" w:hAnsi="Times New Roman" w:cs="Times New Roman"/>
          <w:sz w:val="24"/>
          <w:szCs w:val="24"/>
        </w:rPr>
      </w:pPr>
    </w:p>
    <w:p w14:paraId="7CFAD09F" w14:textId="77777777" w:rsidR="00446013" w:rsidRPr="00E20E49" w:rsidRDefault="00446013" w:rsidP="00E20E49">
      <w:pPr>
        <w:spacing w:line="360" w:lineRule="auto"/>
        <w:jc w:val="both"/>
        <w:rPr>
          <w:rFonts w:ascii="Times New Roman" w:hAnsi="Times New Roman" w:cs="Times New Roman"/>
          <w:b/>
        </w:rPr>
      </w:pPr>
      <w:proofErr w:type="spellStart"/>
      <w:r w:rsidRPr="00E20E49">
        <w:rPr>
          <w:rFonts w:ascii="Times New Roman" w:hAnsi="Times New Roman" w:cs="Times New Roman"/>
          <w:b/>
        </w:rPr>
        <w:t>Abstrak</w:t>
      </w:r>
      <w:proofErr w:type="spellEnd"/>
      <w:r w:rsidRPr="00E20E49">
        <w:rPr>
          <w:rFonts w:ascii="Times New Roman" w:hAnsi="Times New Roman" w:cs="Times New Roman"/>
          <w:b/>
        </w:rPr>
        <w:t xml:space="preserve"> </w:t>
      </w:r>
    </w:p>
    <w:p w14:paraId="3D226EAE" w14:textId="362A3BAC" w:rsidR="00446013" w:rsidRPr="00EC143B" w:rsidRDefault="00170039" w:rsidP="00E20E49">
      <w:pPr>
        <w:pStyle w:val="NoSpacing"/>
        <w:spacing w:line="360" w:lineRule="auto"/>
        <w:jc w:val="both"/>
        <w:rPr>
          <w:rFonts w:ascii="Times New Roman" w:hAnsi="Times New Roman" w:cs="Times New Roman"/>
          <w:sz w:val="24"/>
          <w:szCs w:val="24"/>
          <w:lang w:val="en-US"/>
        </w:rPr>
      </w:pPr>
      <w:proofErr w:type="spellStart"/>
      <w:r w:rsidRPr="00E20E49">
        <w:rPr>
          <w:rFonts w:ascii="Times New Roman" w:hAnsi="Times New Roman" w:cs="Times New Roman"/>
          <w:b/>
          <w:sz w:val="24"/>
          <w:szCs w:val="24"/>
          <w:lang w:val="en-US"/>
        </w:rPr>
        <w:t>Latar</w:t>
      </w:r>
      <w:proofErr w:type="spellEnd"/>
      <w:r w:rsidRPr="00E20E49">
        <w:rPr>
          <w:rFonts w:ascii="Times New Roman" w:hAnsi="Times New Roman" w:cs="Times New Roman"/>
          <w:b/>
          <w:sz w:val="24"/>
          <w:szCs w:val="24"/>
          <w:lang w:val="en-US"/>
        </w:rPr>
        <w:t xml:space="preserve"> </w:t>
      </w:r>
      <w:proofErr w:type="spellStart"/>
      <w:proofErr w:type="gramStart"/>
      <w:r w:rsidRPr="00E20E49">
        <w:rPr>
          <w:rFonts w:ascii="Times New Roman" w:hAnsi="Times New Roman" w:cs="Times New Roman"/>
          <w:b/>
          <w:sz w:val="24"/>
          <w:szCs w:val="24"/>
          <w:lang w:val="en-US"/>
        </w:rPr>
        <w:t>belakang</w:t>
      </w:r>
      <w:proofErr w:type="spellEnd"/>
      <w:r w:rsidR="00446013" w:rsidRPr="00E20E49">
        <w:rPr>
          <w:rFonts w:ascii="Times New Roman" w:hAnsi="Times New Roman" w:cs="Times New Roman"/>
          <w:b/>
          <w:sz w:val="24"/>
          <w:szCs w:val="24"/>
        </w:rPr>
        <w:t xml:space="preserve"> :</w:t>
      </w:r>
      <w:proofErr w:type="gramEnd"/>
      <w:r w:rsidR="00446013" w:rsidRPr="00E20E49">
        <w:rPr>
          <w:rFonts w:ascii="Times New Roman" w:hAnsi="Times New Roman" w:cs="Times New Roman"/>
          <w:b/>
          <w:sz w:val="24"/>
          <w:szCs w:val="24"/>
        </w:rPr>
        <w:t xml:space="preserve"> </w:t>
      </w:r>
      <w:proofErr w:type="spellStart"/>
      <w:r w:rsidR="00FD1831">
        <w:rPr>
          <w:rFonts w:ascii="Times New Roman" w:hAnsi="Times New Roman" w:cs="Times New Roman"/>
          <w:sz w:val="24"/>
          <w:szCs w:val="24"/>
          <w:lang w:val="en-US"/>
        </w:rPr>
        <w:t>Kanker</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nasofaring</w:t>
      </w:r>
      <w:proofErr w:type="spellEnd"/>
      <w:r w:rsidR="00FD1831">
        <w:rPr>
          <w:rFonts w:ascii="Times New Roman" w:hAnsi="Times New Roman" w:cs="Times New Roman"/>
          <w:sz w:val="24"/>
          <w:szCs w:val="24"/>
          <w:lang w:val="en-US"/>
        </w:rPr>
        <w:t xml:space="preserve"> (KNF) </w:t>
      </w:r>
      <w:proofErr w:type="spellStart"/>
      <w:r w:rsidR="00FD1831">
        <w:rPr>
          <w:rFonts w:ascii="Times New Roman" w:hAnsi="Times New Roman" w:cs="Times New Roman"/>
          <w:sz w:val="24"/>
          <w:szCs w:val="24"/>
          <w:lang w:val="en-US"/>
        </w:rPr>
        <w:t>masih</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menjadi</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permasalahan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kesehatan</w:t>
      </w:r>
      <w:proofErr w:type="spellEnd"/>
      <w:r w:rsidR="00FD1831">
        <w:rPr>
          <w:rFonts w:ascii="Times New Roman" w:hAnsi="Times New Roman" w:cs="Times New Roman"/>
          <w:sz w:val="24"/>
          <w:szCs w:val="24"/>
          <w:lang w:val="en-US"/>
        </w:rPr>
        <w:t xml:space="preserve"> dunia juga Indonesia</w:t>
      </w:r>
      <w:r w:rsidR="00446013" w:rsidRPr="00E20E49">
        <w:rPr>
          <w:rFonts w:ascii="Times New Roman" w:hAnsi="Times New Roman" w:cs="Times New Roman"/>
          <w:sz w:val="24"/>
          <w:szCs w:val="24"/>
          <w:lang w:val="zh-CN"/>
        </w:rPr>
        <w:t>.</w:t>
      </w:r>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Pasien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datang</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dengan</w:t>
      </w:r>
      <w:proofErr w:type="spellEnd"/>
      <w:r w:rsidR="00FD1831">
        <w:rPr>
          <w:rFonts w:ascii="Times New Roman" w:hAnsi="Times New Roman" w:cs="Times New Roman"/>
          <w:sz w:val="24"/>
          <w:szCs w:val="24"/>
          <w:lang w:val="en-US"/>
        </w:rPr>
        <w:t xml:space="preserve"> stadium </w:t>
      </w:r>
      <w:proofErr w:type="spellStart"/>
      <w:r w:rsidR="00FD1831">
        <w:rPr>
          <w:rFonts w:ascii="Times New Roman" w:hAnsi="Times New Roman" w:cs="Times New Roman"/>
          <w:sz w:val="24"/>
          <w:szCs w:val="24"/>
          <w:lang w:val="en-US"/>
        </w:rPr>
        <w:t>lanjut</w:t>
      </w:r>
      <w:proofErr w:type="spellEnd"/>
      <w:r w:rsidR="00FD1831">
        <w:rPr>
          <w:rFonts w:ascii="Times New Roman" w:hAnsi="Times New Roman" w:cs="Times New Roman"/>
          <w:sz w:val="24"/>
          <w:szCs w:val="24"/>
          <w:lang w:val="en-US"/>
        </w:rPr>
        <w:t xml:space="preserve"> yang </w:t>
      </w:r>
      <w:proofErr w:type="spellStart"/>
      <w:r w:rsidR="00FD1831">
        <w:rPr>
          <w:rFonts w:ascii="Times New Roman" w:hAnsi="Times New Roman" w:cs="Times New Roman"/>
          <w:sz w:val="24"/>
          <w:szCs w:val="24"/>
          <w:lang w:val="en-US"/>
        </w:rPr>
        <w:t>berdampak</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tingginya</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morbiditas</w:t>
      </w:r>
      <w:proofErr w:type="spellEnd"/>
      <w:r w:rsidR="00FD1831">
        <w:rPr>
          <w:rFonts w:ascii="Times New Roman" w:hAnsi="Times New Roman" w:cs="Times New Roman"/>
          <w:sz w:val="24"/>
          <w:szCs w:val="24"/>
          <w:lang w:val="en-US"/>
        </w:rPr>
        <w:t xml:space="preserve"> dan </w:t>
      </w:r>
      <w:proofErr w:type="spellStart"/>
      <w:r w:rsidR="00FD1831">
        <w:rPr>
          <w:rFonts w:ascii="Times New Roman" w:hAnsi="Times New Roman" w:cs="Times New Roman"/>
          <w:sz w:val="24"/>
          <w:szCs w:val="24"/>
          <w:lang w:val="en-US"/>
        </w:rPr>
        <w:t>mortalitas</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pasien</w:t>
      </w:r>
      <w:proofErr w:type="spellEnd"/>
      <w:r w:rsidR="00FD1831">
        <w:rPr>
          <w:rFonts w:ascii="Times New Roman" w:hAnsi="Times New Roman" w:cs="Times New Roman"/>
          <w:sz w:val="24"/>
          <w:szCs w:val="24"/>
          <w:lang w:val="en-US"/>
        </w:rPr>
        <w:t xml:space="preserve">. Prognosis </w:t>
      </w:r>
      <w:proofErr w:type="spellStart"/>
      <w:r w:rsidR="00FD1831">
        <w:rPr>
          <w:rFonts w:ascii="Times New Roman" w:hAnsi="Times New Roman" w:cs="Times New Roman"/>
          <w:sz w:val="24"/>
          <w:szCs w:val="24"/>
          <w:lang w:val="en-US"/>
        </w:rPr>
        <w:t>pasien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sangat</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tergantung</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modalitas</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penunjang</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guna</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menentukan</w:t>
      </w:r>
      <w:proofErr w:type="spellEnd"/>
      <w:r w:rsidR="00FD1831">
        <w:rPr>
          <w:rFonts w:ascii="Times New Roman" w:hAnsi="Times New Roman" w:cs="Times New Roman"/>
          <w:sz w:val="24"/>
          <w:szCs w:val="24"/>
          <w:lang w:val="en-US"/>
        </w:rPr>
        <w:t xml:space="preserve"> stadium. </w:t>
      </w:r>
      <w:proofErr w:type="spellStart"/>
      <w:r w:rsidR="00FD1831">
        <w:rPr>
          <w:rFonts w:ascii="Times New Roman" w:hAnsi="Times New Roman" w:cs="Times New Roman"/>
          <w:sz w:val="24"/>
          <w:szCs w:val="24"/>
          <w:lang w:val="en-US"/>
        </w:rPr>
        <w:t>Pemeriksaan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pendukung</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dengan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standar</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panduan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masih</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bersifat</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terbatas</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terutama</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bagi</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rumah</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sakit</w:t>
      </w:r>
      <w:proofErr w:type="spellEnd"/>
      <w:r w:rsidR="00FD1831">
        <w:rPr>
          <w:rFonts w:ascii="Times New Roman" w:hAnsi="Times New Roman" w:cs="Times New Roman"/>
          <w:sz w:val="24"/>
          <w:szCs w:val="24"/>
          <w:lang w:val="en-US"/>
        </w:rPr>
        <w:t xml:space="preserve"> di non </w:t>
      </w:r>
      <w:proofErr w:type="spellStart"/>
      <w:r w:rsidR="00FD1831">
        <w:rPr>
          <w:rFonts w:ascii="Times New Roman" w:hAnsi="Times New Roman" w:cs="Times New Roman"/>
          <w:sz w:val="24"/>
          <w:szCs w:val="24"/>
          <w:lang w:val="en-US"/>
        </w:rPr>
        <w:t>sentra</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pendidikan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atau</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bukan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kota</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besar</w:t>
      </w:r>
      <w:proofErr w:type="spellEnd"/>
      <w:r w:rsidR="00FD1831">
        <w:rPr>
          <w:rFonts w:ascii="Times New Roman" w:hAnsi="Times New Roman" w:cs="Times New Roman"/>
          <w:sz w:val="24"/>
          <w:szCs w:val="24"/>
          <w:lang w:val="en-US"/>
        </w:rPr>
        <w:t>.</w:t>
      </w:r>
      <w:r w:rsidR="00446013" w:rsidRPr="00E20E49">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Diketahui</w:t>
      </w:r>
      <w:proofErr w:type="spellEnd"/>
      <w:r w:rsidR="004758C8">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terdapat</w:t>
      </w:r>
      <w:proofErr w:type="spellEnd"/>
      <w:r w:rsidR="004758C8">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hubungan</w:t>
      </w:r>
      <w:proofErr w:type="spellEnd"/>
      <w:r w:rsidR="004758C8">
        <w:rPr>
          <w:rFonts w:ascii="Times New Roman" w:hAnsi="Times New Roman" w:cs="Times New Roman"/>
          <w:sz w:val="24"/>
          <w:szCs w:val="24"/>
          <w:lang w:val="en-US"/>
        </w:rPr>
        <w:t xml:space="preserve"> yang </w:t>
      </w:r>
      <w:proofErr w:type="spellStart"/>
      <w:r w:rsidR="004758C8">
        <w:rPr>
          <w:rFonts w:ascii="Times New Roman" w:hAnsi="Times New Roman" w:cs="Times New Roman"/>
          <w:sz w:val="24"/>
          <w:szCs w:val="24"/>
          <w:lang w:val="en-US"/>
        </w:rPr>
        <w:t>erat</w:t>
      </w:r>
      <w:proofErr w:type="spellEnd"/>
      <w:r w:rsidR="004758C8">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antara</w:t>
      </w:r>
      <w:proofErr w:type="spellEnd"/>
      <w:r w:rsidR="004758C8">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inflamasi</w:t>
      </w:r>
      <w:proofErr w:type="spellEnd"/>
      <w:r w:rsidR="004758C8">
        <w:rPr>
          <w:rFonts w:ascii="Times New Roman" w:hAnsi="Times New Roman" w:cs="Times New Roman"/>
          <w:sz w:val="24"/>
          <w:szCs w:val="24"/>
          <w:lang w:val="en-US"/>
        </w:rPr>
        <w:t xml:space="preserve"> dan </w:t>
      </w:r>
      <w:proofErr w:type="spellStart"/>
      <w:r w:rsidR="004758C8">
        <w:rPr>
          <w:rFonts w:ascii="Times New Roman" w:hAnsi="Times New Roman" w:cs="Times New Roman"/>
          <w:sz w:val="24"/>
          <w:szCs w:val="24"/>
          <w:lang w:val="en-US"/>
        </w:rPr>
        <w:t>suatu</w:t>
      </w:r>
      <w:proofErr w:type="spellEnd"/>
      <w:r w:rsidR="004758C8">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keganasan</w:t>
      </w:r>
      <w:proofErr w:type="spellEnd"/>
      <w:r w:rsidR="004758C8">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terutama</w:t>
      </w:r>
      <w:proofErr w:type="spellEnd"/>
      <w:r w:rsidR="004758C8">
        <w:rPr>
          <w:rFonts w:ascii="Times New Roman" w:hAnsi="Times New Roman" w:cs="Times New Roman"/>
          <w:sz w:val="24"/>
          <w:szCs w:val="24"/>
          <w:lang w:val="en-US"/>
        </w:rPr>
        <w:t xml:space="preserve"> KNF </w:t>
      </w:r>
      <w:proofErr w:type="spellStart"/>
      <w:r w:rsidR="004758C8">
        <w:rPr>
          <w:rFonts w:ascii="Times New Roman" w:hAnsi="Times New Roman" w:cs="Times New Roman"/>
          <w:sz w:val="24"/>
          <w:szCs w:val="24"/>
          <w:lang w:val="en-US"/>
        </w:rPr>
        <w:t>dengan</w:t>
      </w:r>
      <w:proofErr w:type="spellEnd"/>
      <w:r w:rsidR="004758C8">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fa</w:t>
      </w:r>
      <w:r w:rsidR="00DC7A93">
        <w:rPr>
          <w:rFonts w:ascii="Times New Roman" w:hAnsi="Times New Roman" w:cs="Times New Roman"/>
          <w:sz w:val="24"/>
          <w:szCs w:val="24"/>
          <w:lang w:val="en-US"/>
        </w:rPr>
        <w:t>k</w:t>
      </w:r>
      <w:r w:rsidR="004758C8">
        <w:rPr>
          <w:rFonts w:ascii="Times New Roman" w:hAnsi="Times New Roman" w:cs="Times New Roman"/>
          <w:sz w:val="24"/>
          <w:szCs w:val="24"/>
          <w:lang w:val="en-US"/>
        </w:rPr>
        <w:t>tor</w:t>
      </w:r>
      <w:proofErr w:type="spellEnd"/>
      <w:r w:rsidR="004758C8">
        <w:rPr>
          <w:rFonts w:ascii="Times New Roman" w:hAnsi="Times New Roman" w:cs="Times New Roman"/>
          <w:sz w:val="24"/>
          <w:szCs w:val="24"/>
          <w:lang w:val="en-US"/>
        </w:rPr>
        <w:t xml:space="preserve"> </w:t>
      </w:r>
      <w:proofErr w:type="spellStart"/>
      <w:r w:rsidR="00DC7A93">
        <w:rPr>
          <w:rFonts w:ascii="Times New Roman" w:hAnsi="Times New Roman" w:cs="Times New Roman"/>
          <w:sz w:val="24"/>
          <w:szCs w:val="24"/>
          <w:lang w:val="en-US"/>
        </w:rPr>
        <w:t>r</w:t>
      </w:r>
      <w:r w:rsidR="004758C8">
        <w:rPr>
          <w:rFonts w:ascii="Times New Roman" w:hAnsi="Times New Roman" w:cs="Times New Roman"/>
          <w:sz w:val="24"/>
          <w:szCs w:val="24"/>
          <w:lang w:val="en-US"/>
        </w:rPr>
        <w:t>isiko</w:t>
      </w:r>
      <w:proofErr w:type="spellEnd"/>
      <w:r w:rsidR="004758C8">
        <w:rPr>
          <w:rFonts w:ascii="Times New Roman" w:hAnsi="Times New Roman" w:cs="Times New Roman"/>
          <w:sz w:val="24"/>
          <w:szCs w:val="24"/>
          <w:lang w:val="en-US"/>
        </w:rPr>
        <w:t xml:space="preserve"> </w:t>
      </w:r>
      <w:proofErr w:type="spellStart"/>
      <w:r w:rsidR="004758C8">
        <w:rPr>
          <w:rFonts w:ascii="Times New Roman" w:hAnsi="Times New Roman" w:cs="Times New Roman"/>
          <w:sz w:val="24"/>
          <w:szCs w:val="24"/>
          <w:lang w:val="en-US"/>
        </w:rPr>
        <w:t>infeksi</w:t>
      </w:r>
      <w:proofErr w:type="spellEnd"/>
      <w:r w:rsidR="004758C8">
        <w:rPr>
          <w:rFonts w:ascii="Times New Roman" w:hAnsi="Times New Roman" w:cs="Times New Roman"/>
          <w:sz w:val="24"/>
          <w:szCs w:val="24"/>
          <w:lang w:val="en-US"/>
        </w:rPr>
        <w:t xml:space="preserve"> virus</w:t>
      </w:r>
      <w:r w:rsidR="00DC7A93">
        <w:rPr>
          <w:rFonts w:ascii="Times New Roman" w:hAnsi="Times New Roman" w:cs="Times New Roman"/>
          <w:sz w:val="24"/>
          <w:szCs w:val="24"/>
          <w:lang w:val="en-US"/>
        </w:rPr>
        <w:t xml:space="preserve"> </w:t>
      </w:r>
      <w:proofErr w:type="spellStart"/>
      <w:r w:rsidR="00DC7A93">
        <w:rPr>
          <w:rFonts w:ascii="Times New Roman" w:hAnsi="Times New Roman" w:cs="Times New Roman"/>
          <w:sz w:val="24"/>
          <w:szCs w:val="24"/>
          <w:lang w:val="en-US"/>
        </w:rPr>
        <w:t>kronik</w:t>
      </w:r>
      <w:proofErr w:type="spellEnd"/>
      <w:r w:rsidR="004758C8">
        <w:rPr>
          <w:rFonts w:ascii="Times New Roman" w:hAnsi="Times New Roman" w:cs="Times New Roman"/>
          <w:sz w:val="24"/>
          <w:szCs w:val="24"/>
          <w:lang w:val="en-US"/>
        </w:rPr>
        <w:t xml:space="preserve"> </w:t>
      </w:r>
      <w:proofErr w:type="gramStart"/>
      <w:r w:rsidR="00446013" w:rsidRPr="00E20E49">
        <w:rPr>
          <w:rFonts w:ascii="Times New Roman" w:hAnsi="Times New Roman" w:cs="Times New Roman"/>
          <w:b/>
          <w:sz w:val="24"/>
          <w:szCs w:val="24"/>
        </w:rPr>
        <w:t>Tujuan :</w:t>
      </w:r>
      <w:proofErr w:type="gramEnd"/>
      <w:r w:rsidR="00446013" w:rsidRPr="00E20E49">
        <w:rPr>
          <w:rFonts w:ascii="Times New Roman" w:hAnsi="Times New Roman" w:cs="Times New Roman"/>
          <w:b/>
          <w:sz w:val="24"/>
          <w:szCs w:val="24"/>
        </w:rPr>
        <w:t xml:space="preserve"> </w:t>
      </w:r>
      <w:r w:rsidR="00446013" w:rsidRPr="00E20E49">
        <w:rPr>
          <w:rFonts w:ascii="Times New Roman" w:hAnsi="Times New Roman" w:cs="Times New Roman"/>
          <w:sz w:val="24"/>
          <w:szCs w:val="24"/>
          <w:lang w:val="zh-CN"/>
        </w:rPr>
        <w:t>U</w:t>
      </w:r>
      <w:r w:rsidR="00446013" w:rsidRPr="00E20E49">
        <w:rPr>
          <w:rFonts w:ascii="Times New Roman" w:hAnsi="Times New Roman" w:cs="Times New Roman"/>
          <w:sz w:val="24"/>
          <w:szCs w:val="24"/>
        </w:rPr>
        <w:t xml:space="preserve">ntuk </w:t>
      </w:r>
      <w:proofErr w:type="spellStart"/>
      <w:r w:rsidR="00FD1831">
        <w:rPr>
          <w:rFonts w:ascii="Times New Roman" w:hAnsi="Times New Roman" w:cs="Times New Roman"/>
          <w:sz w:val="24"/>
          <w:szCs w:val="24"/>
          <w:lang w:val="en-US"/>
        </w:rPr>
        <w:t>melihat</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peran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pemeriksaan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darah</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rutin</w:t>
      </w:r>
      <w:proofErr w:type="spellEnd"/>
      <w:r w:rsidR="00FD1831">
        <w:rPr>
          <w:rFonts w:ascii="Times New Roman" w:hAnsi="Times New Roman" w:cs="Times New Roman"/>
          <w:sz w:val="24"/>
          <w:szCs w:val="24"/>
          <w:lang w:val="en-US"/>
        </w:rPr>
        <w:t xml:space="preserve"> yang </w:t>
      </w:r>
      <w:proofErr w:type="spellStart"/>
      <w:r w:rsidR="00FD1831">
        <w:rPr>
          <w:rFonts w:ascii="Times New Roman" w:hAnsi="Times New Roman" w:cs="Times New Roman"/>
          <w:sz w:val="24"/>
          <w:szCs w:val="24"/>
          <w:lang w:val="en-US"/>
        </w:rPr>
        <w:t>mudah</w:t>
      </w:r>
      <w:proofErr w:type="spellEnd"/>
      <w:r w:rsidR="00FD1831">
        <w:rPr>
          <w:rFonts w:ascii="Times New Roman" w:hAnsi="Times New Roman" w:cs="Times New Roman"/>
          <w:sz w:val="24"/>
          <w:szCs w:val="24"/>
          <w:lang w:val="en-US"/>
        </w:rPr>
        <w:t xml:space="preserve"> dan </w:t>
      </w:r>
      <w:proofErr w:type="spellStart"/>
      <w:r w:rsidR="00FD1831">
        <w:rPr>
          <w:rFonts w:ascii="Times New Roman" w:hAnsi="Times New Roman" w:cs="Times New Roman"/>
          <w:sz w:val="24"/>
          <w:szCs w:val="24"/>
          <w:lang w:val="en-US"/>
        </w:rPr>
        <w:t>murah</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untuk</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membantu</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penilaian</w:t>
      </w:r>
      <w:proofErr w:type="spellEnd"/>
      <w:r w:rsidR="00FD1831">
        <w:rPr>
          <w:rFonts w:ascii="Times New Roman" w:hAnsi="Times New Roman" w:cs="Times New Roman"/>
          <w:sz w:val="24"/>
          <w:szCs w:val="24"/>
          <w:lang w:val="en-US"/>
        </w:rPr>
        <w:t xml:space="preserve"> prognosis </w:t>
      </w:r>
      <w:proofErr w:type="spellStart"/>
      <w:r w:rsidR="00FD1831">
        <w:rPr>
          <w:rFonts w:ascii="Times New Roman" w:hAnsi="Times New Roman" w:cs="Times New Roman"/>
          <w:sz w:val="24"/>
          <w:szCs w:val="24"/>
          <w:lang w:val="en-US"/>
        </w:rPr>
        <w:t>pasien</w:t>
      </w:r>
      <w:proofErr w:type="spellEnd"/>
      <w:r w:rsidR="00FD1831">
        <w:rPr>
          <w:rFonts w:ascii="Times New Roman" w:hAnsi="Times New Roman" w:cs="Times New Roman"/>
          <w:sz w:val="24"/>
          <w:szCs w:val="24"/>
          <w:lang w:val="en-US"/>
        </w:rPr>
        <w:t xml:space="preserve"> KNF. </w:t>
      </w:r>
      <w:proofErr w:type="spellStart"/>
      <w:r w:rsidRPr="00E20E49">
        <w:rPr>
          <w:rFonts w:ascii="Times New Roman" w:hAnsi="Times New Roman" w:cs="Times New Roman"/>
          <w:b/>
          <w:bCs/>
          <w:sz w:val="24"/>
          <w:szCs w:val="24"/>
          <w:lang w:val="en-US"/>
        </w:rPr>
        <w:t>Metode</w:t>
      </w:r>
      <w:proofErr w:type="spellEnd"/>
      <w:r w:rsidR="00446013" w:rsidRPr="00E20E49">
        <w:rPr>
          <w:rFonts w:ascii="Times New Roman" w:hAnsi="Times New Roman" w:cs="Times New Roman"/>
          <w:b/>
          <w:sz w:val="24"/>
          <w:szCs w:val="24"/>
        </w:rPr>
        <w:t>:</w:t>
      </w:r>
      <w:r w:rsidR="00446013" w:rsidRPr="00E20E49">
        <w:rPr>
          <w:rFonts w:ascii="Times New Roman" w:hAnsi="Times New Roman" w:cs="Times New Roman"/>
          <w:sz w:val="24"/>
          <w:szCs w:val="24"/>
        </w:rPr>
        <w:t xml:space="preserve"> </w:t>
      </w:r>
      <w:proofErr w:type="spellStart"/>
      <w:r w:rsidR="00FD1831">
        <w:rPr>
          <w:rFonts w:ascii="Times New Roman" w:hAnsi="Times New Roman" w:cs="Times New Roman"/>
          <w:sz w:val="24"/>
          <w:szCs w:val="24"/>
          <w:lang w:val="en-US"/>
        </w:rPr>
        <w:t>Pencarian</w:t>
      </w:r>
      <w:proofErr w:type="spellEnd"/>
      <w:r w:rsidR="00FD1831">
        <w:rPr>
          <w:rFonts w:ascii="Times New Roman" w:hAnsi="Times New Roman" w:cs="Times New Roman"/>
          <w:sz w:val="24"/>
          <w:szCs w:val="24"/>
          <w:lang w:val="en-US"/>
        </w:rPr>
        <w:t xml:space="preserve"> data </w:t>
      </w:r>
      <w:proofErr w:type="spellStart"/>
      <w:r w:rsidR="00FD1831">
        <w:rPr>
          <w:rFonts w:ascii="Times New Roman" w:hAnsi="Times New Roman" w:cs="Times New Roman"/>
          <w:sz w:val="24"/>
          <w:szCs w:val="24"/>
          <w:lang w:val="en-US"/>
        </w:rPr>
        <w:t>skunder</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rekam</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medik</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meliputi</w:t>
      </w:r>
      <w:proofErr w:type="spellEnd"/>
      <w:r w:rsidR="00FD1831">
        <w:rPr>
          <w:rFonts w:ascii="Times New Roman" w:hAnsi="Times New Roman" w:cs="Times New Roman"/>
          <w:sz w:val="24"/>
          <w:szCs w:val="24"/>
          <w:lang w:val="en-US"/>
        </w:rPr>
        <w:t xml:space="preserve"> data </w:t>
      </w:r>
      <w:proofErr w:type="spellStart"/>
      <w:r w:rsidR="00FD1831">
        <w:rPr>
          <w:rFonts w:ascii="Times New Roman" w:hAnsi="Times New Roman" w:cs="Times New Roman"/>
          <w:sz w:val="24"/>
          <w:szCs w:val="24"/>
          <w:lang w:val="en-US"/>
        </w:rPr>
        <w:t>hasil</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histopatologi</w:t>
      </w:r>
      <w:proofErr w:type="spellEnd"/>
      <w:r w:rsidR="00FD1831">
        <w:rPr>
          <w:rFonts w:ascii="Times New Roman" w:hAnsi="Times New Roman" w:cs="Times New Roman"/>
          <w:sz w:val="24"/>
          <w:szCs w:val="24"/>
          <w:lang w:val="en-US"/>
        </w:rPr>
        <w:t xml:space="preserve">, CT Scan </w:t>
      </w:r>
      <w:proofErr w:type="spellStart"/>
      <w:r w:rsidR="00FD1831">
        <w:rPr>
          <w:rFonts w:ascii="Times New Roman" w:hAnsi="Times New Roman" w:cs="Times New Roman"/>
          <w:sz w:val="24"/>
          <w:szCs w:val="24"/>
          <w:lang w:val="en-US"/>
        </w:rPr>
        <w:t>atau</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pemeriksaan</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fisik</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atau</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nasoendoskopi</w:t>
      </w:r>
      <w:proofErr w:type="spellEnd"/>
      <w:r w:rsidR="00FD1831">
        <w:rPr>
          <w:rFonts w:ascii="Times New Roman" w:hAnsi="Times New Roman" w:cs="Times New Roman"/>
          <w:sz w:val="24"/>
          <w:szCs w:val="24"/>
          <w:lang w:val="en-US"/>
        </w:rPr>
        <w:t xml:space="preserve"> </w:t>
      </w:r>
      <w:proofErr w:type="spellStart"/>
      <w:r w:rsidR="00FD1831">
        <w:rPr>
          <w:rFonts w:ascii="Times New Roman" w:hAnsi="Times New Roman" w:cs="Times New Roman"/>
          <w:sz w:val="24"/>
          <w:szCs w:val="24"/>
          <w:lang w:val="en-US"/>
        </w:rPr>
        <w:t>serta</w:t>
      </w:r>
      <w:proofErr w:type="spellEnd"/>
      <w:r w:rsidR="00FD1831">
        <w:rPr>
          <w:rFonts w:ascii="Times New Roman" w:hAnsi="Times New Roman" w:cs="Times New Roman"/>
          <w:sz w:val="24"/>
          <w:szCs w:val="24"/>
          <w:lang w:val="en-US"/>
        </w:rPr>
        <w:t xml:space="preserve"> </w:t>
      </w:r>
      <w:r w:rsidR="00FD1831">
        <w:rPr>
          <w:rFonts w:ascii="Times New Roman" w:hAnsi="Times New Roman" w:cs="Times New Roman"/>
          <w:color w:val="000000" w:themeColor="text1"/>
          <w:sz w:val="24"/>
          <w:szCs w:val="24"/>
          <w:lang w:val="en-US"/>
        </w:rPr>
        <w:t xml:space="preserve">data </w:t>
      </w:r>
      <w:proofErr w:type="spellStart"/>
      <w:r w:rsidR="00FD1831">
        <w:rPr>
          <w:rFonts w:ascii="Times New Roman" w:hAnsi="Times New Roman" w:cs="Times New Roman"/>
          <w:color w:val="000000" w:themeColor="text1"/>
          <w:sz w:val="24"/>
          <w:szCs w:val="24"/>
          <w:lang w:val="en-US"/>
        </w:rPr>
        <w:t>laboratium</w:t>
      </w:r>
      <w:proofErr w:type="spellEnd"/>
      <w:r w:rsidR="00FD1831">
        <w:rPr>
          <w:rFonts w:ascii="Times New Roman" w:hAnsi="Times New Roman" w:cs="Times New Roman"/>
          <w:color w:val="000000" w:themeColor="text1"/>
          <w:sz w:val="24"/>
          <w:szCs w:val="24"/>
          <w:lang w:val="en-US"/>
        </w:rPr>
        <w:t xml:space="preserve"> </w:t>
      </w:r>
      <w:proofErr w:type="spellStart"/>
      <w:r w:rsidR="00FD1831">
        <w:rPr>
          <w:rFonts w:ascii="Times New Roman" w:hAnsi="Times New Roman" w:cs="Times New Roman"/>
          <w:color w:val="000000" w:themeColor="text1"/>
          <w:sz w:val="24"/>
          <w:szCs w:val="24"/>
          <w:lang w:val="en-US"/>
        </w:rPr>
        <w:t>darah</w:t>
      </w:r>
      <w:proofErr w:type="spellEnd"/>
      <w:r w:rsidR="00FD1831">
        <w:rPr>
          <w:rFonts w:ascii="Times New Roman" w:hAnsi="Times New Roman" w:cs="Times New Roman"/>
          <w:color w:val="000000" w:themeColor="text1"/>
          <w:sz w:val="24"/>
          <w:szCs w:val="24"/>
          <w:lang w:val="en-US"/>
        </w:rPr>
        <w:t xml:space="preserve"> </w:t>
      </w:r>
      <w:proofErr w:type="spellStart"/>
      <w:r w:rsidR="00FD1831">
        <w:rPr>
          <w:rFonts w:ascii="Times New Roman" w:hAnsi="Times New Roman" w:cs="Times New Roman"/>
          <w:color w:val="000000" w:themeColor="text1"/>
          <w:sz w:val="24"/>
          <w:szCs w:val="24"/>
          <w:lang w:val="en-US"/>
        </w:rPr>
        <w:t>rutin</w:t>
      </w:r>
      <w:proofErr w:type="spellEnd"/>
      <w:r w:rsidR="00FD1831">
        <w:rPr>
          <w:rFonts w:ascii="Times New Roman" w:hAnsi="Times New Roman" w:cs="Times New Roman"/>
          <w:color w:val="000000" w:themeColor="text1"/>
          <w:sz w:val="24"/>
          <w:szCs w:val="24"/>
          <w:lang w:val="en-US"/>
        </w:rPr>
        <w:t xml:space="preserve"> </w:t>
      </w:r>
      <w:proofErr w:type="spellStart"/>
      <w:r w:rsidR="00FD1831">
        <w:rPr>
          <w:rFonts w:ascii="Times New Roman" w:hAnsi="Times New Roman" w:cs="Times New Roman"/>
          <w:color w:val="000000" w:themeColor="text1"/>
          <w:sz w:val="24"/>
          <w:szCs w:val="24"/>
          <w:lang w:val="en-US"/>
        </w:rPr>
        <w:t>pasien</w:t>
      </w:r>
      <w:proofErr w:type="spellEnd"/>
      <w:r w:rsidR="00FD1831">
        <w:rPr>
          <w:rFonts w:ascii="Times New Roman" w:hAnsi="Times New Roman" w:cs="Times New Roman"/>
          <w:color w:val="000000" w:themeColor="text1"/>
          <w:sz w:val="24"/>
          <w:szCs w:val="24"/>
          <w:lang w:val="en-US"/>
        </w:rPr>
        <w:t xml:space="preserve"> KNF di RS PKU Muhammadiyah Gombong </w:t>
      </w:r>
      <w:proofErr w:type="gramStart"/>
      <w:r w:rsidRPr="00E20E49">
        <w:rPr>
          <w:rFonts w:ascii="Times New Roman" w:hAnsi="Times New Roman" w:cs="Times New Roman"/>
          <w:b/>
          <w:sz w:val="24"/>
          <w:szCs w:val="24"/>
          <w:lang w:val="en-US"/>
        </w:rPr>
        <w:t>Hasil</w:t>
      </w:r>
      <w:r w:rsidR="00446013" w:rsidRPr="00E20E49">
        <w:rPr>
          <w:rFonts w:ascii="Times New Roman" w:hAnsi="Times New Roman" w:cs="Times New Roman"/>
          <w:b/>
          <w:sz w:val="24"/>
          <w:szCs w:val="24"/>
        </w:rPr>
        <w:t xml:space="preserve"> </w:t>
      </w:r>
      <w:r w:rsidR="00446013" w:rsidRPr="00E20E49">
        <w:rPr>
          <w:rFonts w:ascii="Times New Roman" w:hAnsi="Times New Roman" w:cs="Times New Roman"/>
          <w:sz w:val="24"/>
          <w:szCs w:val="24"/>
        </w:rPr>
        <w:t>:</w:t>
      </w:r>
      <w:proofErr w:type="gramEnd"/>
      <w:r w:rsidR="00446013" w:rsidRPr="00E20E49">
        <w:rPr>
          <w:rFonts w:ascii="Times New Roman" w:hAnsi="Times New Roman" w:cs="Times New Roman"/>
          <w:sz w:val="24"/>
          <w:szCs w:val="24"/>
        </w:rPr>
        <w:t xml:space="preserve"> </w:t>
      </w:r>
      <w:proofErr w:type="spellStart"/>
      <w:r w:rsidR="00D04D46">
        <w:rPr>
          <w:rFonts w:ascii="Times New Roman" w:hAnsi="Times New Roman" w:cs="Times New Roman"/>
          <w:color w:val="000000" w:themeColor="text1"/>
          <w:sz w:val="24"/>
          <w:szCs w:val="24"/>
          <w:lang w:val="en-US"/>
        </w:rPr>
        <w:t>Didapatkan</w:t>
      </w:r>
      <w:proofErr w:type="spellEnd"/>
      <w:r w:rsidR="00D04D46">
        <w:rPr>
          <w:rFonts w:ascii="Times New Roman" w:hAnsi="Times New Roman" w:cs="Times New Roman"/>
          <w:color w:val="000000" w:themeColor="text1"/>
          <w:sz w:val="24"/>
          <w:szCs w:val="24"/>
          <w:lang w:val="en-US"/>
        </w:rPr>
        <w:t xml:space="preserve"> </w:t>
      </w:r>
      <w:proofErr w:type="spellStart"/>
      <w:r w:rsidR="00D04D46">
        <w:rPr>
          <w:rFonts w:ascii="Times New Roman" w:hAnsi="Times New Roman" w:cs="Times New Roman"/>
          <w:color w:val="000000" w:themeColor="text1"/>
          <w:sz w:val="24"/>
          <w:szCs w:val="24"/>
          <w:lang w:val="en-US"/>
        </w:rPr>
        <w:t>pasien</w:t>
      </w:r>
      <w:proofErr w:type="spellEnd"/>
      <w:r w:rsidR="00D04D46">
        <w:rPr>
          <w:rFonts w:ascii="Times New Roman" w:hAnsi="Times New Roman" w:cs="Times New Roman"/>
          <w:color w:val="000000" w:themeColor="text1"/>
          <w:sz w:val="24"/>
          <w:szCs w:val="24"/>
          <w:lang w:val="en-US"/>
        </w:rPr>
        <w:t xml:space="preserve"> KNF </w:t>
      </w:r>
      <w:proofErr w:type="spellStart"/>
      <w:r w:rsidR="00D04D46">
        <w:rPr>
          <w:rFonts w:ascii="Times New Roman" w:hAnsi="Times New Roman" w:cs="Times New Roman"/>
          <w:color w:val="000000" w:themeColor="text1"/>
          <w:sz w:val="24"/>
          <w:szCs w:val="24"/>
          <w:lang w:val="en-US"/>
        </w:rPr>
        <w:t>dengan</w:t>
      </w:r>
      <w:proofErr w:type="spellEnd"/>
      <w:r w:rsidR="00D04D46">
        <w:rPr>
          <w:rFonts w:ascii="Times New Roman" w:hAnsi="Times New Roman" w:cs="Times New Roman"/>
          <w:color w:val="000000" w:themeColor="text1"/>
          <w:sz w:val="24"/>
          <w:szCs w:val="24"/>
          <w:lang w:val="en-US"/>
        </w:rPr>
        <w:t xml:space="preserve"> 100% </w:t>
      </w:r>
      <w:proofErr w:type="spellStart"/>
      <w:r w:rsidR="00D04D46">
        <w:rPr>
          <w:rFonts w:ascii="Times New Roman" w:hAnsi="Times New Roman" w:cs="Times New Roman"/>
          <w:color w:val="000000" w:themeColor="text1"/>
          <w:sz w:val="24"/>
          <w:szCs w:val="24"/>
          <w:lang w:val="en-US"/>
        </w:rPr>
        <w:t>tipe</w:t>
      </w:r>
      <w:proofErr w:type="spellEnd"/>
      <w:r w:rsidR="00D04D46">
        <w:rPr>
          <w:rFonts w:ascii="Times New Roman" w:hAnsi="Times New Roman" w:cs="Times New Roman"/>
          <w:color w:val="000000" w:themeColor="text1"/>
          <w:sz w:val="24"/>
          <w:szCs w:val="24"/>
          <w:lang w:val="en-US"/>
        </w:rPr>
        <w:t xml:space="preserve"> non keratinizing carcinoma-undifferentiated, </w:t>
      </w:r>
      <w:proofErr w:type="spellStart"/>
      <w:r w:rsidR="00D04D46">
        <w:rPr>
          <w:rFonts w:ascii="Times New Roman" w:hAnsi="Times New Roman" w:cs="Times New Roman"/>
          <w:color w:val="000000" w:themeColor="text1"/>
          <w:sz w:val="24"/>
          <w:szCs w:val="24"/>
          <w:lang w:val="en-US"/>
        </w:rPr>
        <w:t>jenis</w:t>
      </w:r>
      <w:proofErr w:type="spellEnd"/>
      <w:r w:rsidR="00D04D46">
        <w:rPr>
          <w:rFonts w:ascii="Times New Roman" w:hAnsi="Times New Roman" w:cs="Times New Roman"/>
          <w:color w:val="000000" w:themeColor="text1"/>
          <w:sz w:val="24"/>
          <w:szCs w:val="24"/>
          <w:lang w:val="en-US"/>
        </w:rPr>
        <w:t xml:space="preserve"> </w:t>
      </w:r>
      <w:proofErr w:type="spellStart"/>
      <w:r w:rsidR="00D04D46">
        <w:rPr>
          <w:rFonts w:ascii="Times New Roman" w:hAnsi="Times New Roman" w:cs="Times New Roman"/>
          <w:color w:val="000000" w:themeColor="text1"/>
          <w:sz w:val="24"/>
          <w:szCs w:val="24"/>
          <w:lang w:val="en-US"/>
        </w:rPr>
        <w:t>kelamin</w:t>
      </w:r>
      <w:proofErr w:type="spellEnd"/>
      <w:r w:rsidR="00D04D46">
        <w:rPr>
          <w:rFonts w:ascii="Times New Roman" w:hAnsi="Times New Roman" w:cs="Times New Roman"/>
          <w:color w:val="000000" w:themeColor="text1"/>
          <w:sz w:val="24"/>
          <w:szCs w:val="24"/>
          <w:lang w:val="en-US"/>
        </w:rPr>
        <w:t xml:space="preserve"> </w:t>
      </w:r>
      <w:proofErr w:type="spellStart"/>
      <w:r w:rsidR="00D04D46">
        <w:rPr>
          <w:rFonts w:ascii="Times New Roman" w:hAnsi="Times New Roman" w:cs="Times New Roman"/>
          <w:color w:val="000000" w:themeColor="text1"/>
          <w:sz w:val="24"/>
          <w:szCs w:val="24"/>
          <w:lang w:val="en-US"/>
        </w:rPr>
        <w:t>laki-laki</w:t>
      </w:r>
      <w:proofErr w:type="spellEnd"/>
      <w:r w:rsidR="00D04D46">
        <w:rPr>
          <w:rFonts w:ascii="Times New Roman" w:hAnsi="Times New Roman" w:cs="Times New Roman"/>
          <w:color w:val="000000" w:themeColor="text1"/>
          <w:sz w:val="24"/>
          <w:szCs w:val="24"/>
          <w:lang w:val="en-US"/>
        </w:rPr>
        <w:t xml:space="preserve"> </w:t>
      </w:r>
      <w:proofErr w:type="spellStart"/>
      <w:r w:rsidR="004758C8">
        <w:rPr>
          <w:rFonts w:ascii="Times New Roman" w:hAnsi="Times New Roman" w:cs="Times New Roman"/>
          <w:color w:val="000000" w:themeColor="text1"/>
          <w:sz w:val="24"/>
          <w:szCs w:val="24"/>
          <w:lang w:val="en-US"/>
        </w:rPr>
        <w:t>sebesar</w:t>
      </w:r>
      <w:proofErr w:type="spellEnd"/>
      <w:r w:rsidR="004758C8">
        <w:rPr>
          <w:rFonts w:ascii="Times New Roman" w:hAnsi="Times New Roman" w:cs="Times New Roman"/>
          <w:color w:val="000000" w:themeColor="text1"/>
          <w:sz w:val="24"/>
          <w:szCs w:val="24"/>
          <w:lang w:val="en-US"/>
        </w:rPr>
        <w:t xml:space="preserve"> 63% </w:t>
      </w:r>
      <w:r w:rsidR="00D04D46">
        <w:rPr>
          <w:rFonts w:ascii="Times New Roman" w:hAnsi="Times New Roman" w:cs="Times New Roman"/>
          <w:color w:val="000000" w:themeColor="text1"/>
          <w:sz w:val="24"/>
          <w:szCs w:val="24"/>
          <w:lang w:val="en-US"/>
        </w:rPr>
        <w:t>d</w:t>
      </w:r>
      <w:r w:rsidR="004758C8">
        <w:rPr>
          <w:rFonts w:ascii="Times New Roman" w:hAnsi="Times New Roman" w:cs="Times New Roman"/>
          <w:color w:val="000000" w:themeColor="text1"/>
          <w:sz w:val="24"/>
          <w:szCs w:val="24"/>
          <w:lang w:val="en-US"/>
        </w:rPr>
        <w:t>an pada</w:t>
      </w:r>
      <w:r w:rsidR="00D04D46">
        <w:rPr>
          <w:rFonts w:ascii="Times New Roman" w:hAnsi="Times New Roman" w:cs="Times New Roman"/>
          <w:color w:val="000000" w:themeColor="text1"/>
          <w:sz w:val="24"/>
          <w:szCs w:val="24"/>
          <w:lang w:val="en-US"/>
        </w:rPr>
        <w:t xml:space="preserve"> </w:t>
      </w:r>
      <w:proofErr w:type="spellStart"/>
      <w:r w:rsidR="00D04D46">
        <w:rPr>
          <w:rFonts w:ascii="Times New Roman" w:hAnsi="Times New Roman" w:cs="Times New Roman"/>
          <w:color w:val="000000" w:themeColor="text1"/>
          <w:sz w:val="24"/>
          <w:szCs w:val="24"/>
          <w:lang w:val="en-US"/>
        </w:rPr>
        <w:t>rentang</w:t>
      </w:r>
      <w:proofErr w:type="spellEnd"/>
      <w:r w:rsidR="00D04D46">
        <w:rPr>
          <w:rFonts w:ascii="Times New Roman" w:hAnsi="Times New Roman" w:cs="Times New Roman"/>
          <w:color w:val="000000" w:themeColor="text1"/>
          <w:sz w:val="24"/>
          <w:szCs w:val="24"/>
          <w:lang w:val="en-US"/>
        </w:rPr>
        <w:t xml:space="preserve"> </w:t>
      </w:r>
      <w:proofErr w:type="spellStart"/>
      <w:r w:rsidR="00D04D46">
        <w:rPr>
          <w:rFonts w:ascii="Times New Roman" w:hAnsi="Times New Roman" w:cs="Times New Roman"/>
          <w:color w:val="000000" w:themeColor="text1"/>
          <w:sz w:val="24"/>
          <w:szCs w:val="24"/>
          <w:lang w:val="en-US"/>
        </w:rPr>
        <w:t>usia</w:t>
      </w:r>
      <w:proofErr w:type="spellEnd"/>
      <w:r w:rsidR="00D04D46">
        <w:rPr>
          <w:rFonts w:ascii="Times New Roman" w:hAnsi="Times New Roman" w:cs="Times New Roman"/>
          <w:color w:val="000000" w:themeColor="text1"/>
          <w:sz w:val="24"/>
          <w:szCs w:val="24"/>
          <w:lang w:val="en-US"/>
        </w:rPr>
        <w:t xml:space="preserve"> </w:t>
      </w:r>
      <w:proofErr w:type="spellStart"/>
      <w:r w:rsidR="00D04D46">
        <w:rPr>
          <w:rFonts w:ascii="Times New Roman" w:hAnsi="Times New Roman" w:cs="Times New Roman"/>
          <w:color w:val="000000" w:themeColor="text1"/>
          <w:sz w:val="24"/>
          <w:szCs w:val="24"/>
          <w:lang w:val="en-US"/>
        </w:rPr>
        <w:t>terbanyak</w:t>
      </w:r>
      <w:proofErr w:type="spellEnd"/>
      <w:r w:rsidR="00D04D46">
        <w:rPr>
          <w:rFonts w:ascii="Times New Roman" w:hAnsi="Times New Roman" w:cs="Times New Roman"/>
          <w:color w:val="000000" w:themeColor="text1"/>
          <w:sz w:val="24"/>
          <w:szCs w:val="24"/>
          <w:lang w:val="en-US"/>
        </w:rPr>
        <w:t xml:space="preserve"> 46-65 </w:t>
      </w:r>
      <w:proofErr w:type="spellStart"/>
      <w:r w:rsidR="00D04D46">
        <w:rPr>
          <w:rFonts w:ascii="Times New Roman" w:hAnsi="Times New Roman" w:cs="Times New Roman"/>
          <w:color w:val="000000" w:themeColor="text1"/>
          <w:sz w:val="24"/>
          <w:szCs w:val="24"/>
          <w:lang w:val="en-US"/>
        </w:rPr>
        <w:t>tahun</w:t>
      </w:r>
      <w:proofErr w:type="spellEnd"/>
      <w:r w:rsidR="004758C8">
        <w:rPr>
          <w:rFonts w:ascii="Times New Roman" w:hAnsi="Times New Roman" w:cs="Times New Roman"/>
          <w:color w:val="000000" w:themeColor="text1"/>
          <w:sz w:val="24"/>
          <w:szCs w:val="24"/>
          <w:lang w:val="en-US"/>
        </w:rPr>
        <w:t xml:space="preserve"> </w:t>
      </w:r>
      <w:proofErr w:type="spellStart"/>
      <w:r w:rsidR="004758C8">
        <w:rPr>
          <w:rFonts w:ascii="Times New Roman" w:hAnsi="Times New Roman" w:cs="Times New Roman"/>
          <w:color w:val="000000" w:themeColor="text1"/>
          <w:sz w:val="24"/>
          <w:szCs w:val="24"/>
          <w:lang w:val="en-US"/>
        </w:rPr>
        <w:t>dengan</w:t>
      </w:r>
      <w:proofErr w:type="spellEnd"/>
      <w:r w:rsidR="004758C8">
        <w:rPr>
          <w:rFonts w:ascii="Times New Roman" w:hAnsi="Times New Roman" w:cs="Times New Roman"/>
          <w:color w:val="000000" w:themeColor="text1"/>
          <w:sz w:val="24"/>
          <w:szCs w:val="24"/>
          <w:lang w:val="en-US"/>
        </w:rPr>
        <w:t xml:space="preserve"> stadium</w:t>
      </w:r>
      <w:r w:rsidR="00335923">
        <w:rPr>
          <w:rFonts w:ascii="Times New Roman" w:hAnsi="Times New Roman" w:cs="Times New Roman"/>
          <w:color w:val="000000" w:themeColor="text1"/>
          <w:sz w:val="24"/>
          <w:szCs w:val="24"/>
          <w:lang w:val="en-US"/>
        </w:rPr>
        <w:t xml:space="preserve"> </w:t>
      </w:r>
      <w:proofErr w:type="spellStart"/>
      <w:r w:rsidR="00335923">
        <w:rPr>
          <w:rFonts w:ascii="Times New Roman" w:hAnsi="Times New Roman" w:cs="Times New Roman"/>
          <w:color w:val="000000" w:themeColor="text1"/>
          <w:sz w:val="24"/>
          <w:szCs w:val="24"/>
          <w:lang w:val="en-US"/>
        </w:rPr>
        <w:t>klinik</w:t>
      </w:r>
      <w:proofErr w:type="spellEnd"/>
      <w:r w:rsidR="004758C8">
        <w:rPr>
          <w:rFonts w:ascii="Times New Roman" w:hAnsi="Times New Roman" w:cs="Times New Roman"/>
          <w:color w:val="000000" w:themeColor="text1"/>
          <w:sz w:val="24"/>
          <w:szCs w:val="24"/>
          <w:lang w:val="en-US"/>
        </w:rPr>
        <w:t xml:space="preserve"> </w:t>
      </w:r>
      <w:proofErr w:type="spellStart"/>
      <w:r w:rsidR="004758C8">
        <w:rPr>
          <w:rFonts w:ascii="Times New Roman" w:hAnsi="Times New Roman" w:cs="Times New Roman"/>
          <w:color w:val="000000" w:themeColor="text1"/>
          <w:sz w:val="24"/>
          <w:szCs w:val="24"/>
          <w:lang w:val="en-US"/>
        </w:rPr>
        <w:t>lanjut</w:t>
      </w:r>
      <w:proofErr w:type="spellEnd"/>
      <w:r w:rsidR="004758C8">
        <w:rPr>
          <w:rFonts w:ascii="Times New Roman" w:hAnsi="Times New Roman" w:cs="Times New Roman"/>
          <w:color w:val="000000" w:themeColor="text1"/>
          <w:sz w:val="24"/>
          <w:szCs w:val="24"/>
          <w:lang w:val="en-US"/>
        </w:rPr>
        <w:t xml:space="preserve"> </w:t>
      </w:r>
      <w:proofErr w:type="spellStart"/>
      <w:r w:rsidR="004758C8">
        <w:rPr>
          <w:rFonts w:ascii="Times New Roman" w:hAnsi="Times New Roman" w:cs="Times New Roman"/>
          <w:color w:val="000000" w:themeColor="text1"/>
          <w:sz w:val="24"/>
          <w:szCs w:val="24"/>
          <w:lang w:val="en-US"/>
        </w:rPr>
        <w:t>mencapai</w:t>
      </w:r>
      <w:proofErr w:type="spellEnd"/>
      <w:r w:rsidR="004758C8">
        <w:rPr>
          <w:rFonts w:ascii="Times New Roman" w:hAnsi="Times New Roman" w:cs="Times New Roman"/>
          <w:color w:val="000000" w:themeColor="text1"/>
          <w:sz w:val="24"/>
          <w:szCs w:val="24"/>
          <w:lang w:val="en-US"/>
        </w:rPr>
        <w:t xml:space="preserve"> </w:t>
      </w:r>
      <w:r w:rsidR="00335923">
        <w:rPr>
          <w:rFonts w:ascii="Times New Roman" w:hAnsi="Times New Roman" w:cs="Times New Roman"/>
          <w:color w:val="000000" w:themeColor="text1"/>
          <w:sz w:val="24"/>
          <w:szCs w:val="24"/>
          <w:lang w:val="en-US"/>
        </w:rPr>
        <w:t>66,7</w:t>
      </w:r>
      <w:r w:rsidR="004758C8">
        <w:rPr>
          <w:rFonts w:ascii="Times New Roman" w:hAnsi="Times New Roman" w:cs="Times New Roman"/>
          <w:color w:val="000000" w:themeColor="text1"/>
          <w:sz w:val="24"/>
          <w:szCs w:val="24"/>
          <w:lang w:val="en-US"/>
        </w:rPr>
        <w:t>%</w:t>
      </w:r>
      <w:r w:rsidR="00D04D46">
        <w:rPr>
          <w:rFonts w:ascii="Times New Roman" w:hAnsi="Times New Roman" w:cs="Times New Roman"/>
          <w:color w:val="000000" w:themeColor="text1"/>
          <w:sz w:val="24"/>
          <w:szCs w:val="24"/>
          <w:lang w:val="en-US"/>
        </w:rPr>
        <w:t xml:space="preserve">. </w:t>
      </w:r>
      <w:r w:rsidR="004758C8">
        <w:rPr>
          <w:rFonts w:ascii="Times New Roman" w:hAnsi="Times New Roman" w:cs="Times New Roman"/>
          <w:color w:val="000000" w:themeColor="text1"/>
          <w:sz w:val="24"/>
          <w:szCs w:val="24"/>
          <w:lang w:val="en-US"/>
        </w:rPr>
        <w:t>Stat</w:t>
      </w:r>
      <w:r w:rsidR="00DC7A93">
        <w:rPr>
          <w:rFonts w:ascii="Times New Roman" w:hAnsi="Times New Roman" w:cs="Times New Roman"/>
          <w:color w:val="000000" w:themeColor="text1"/>
          <w:sz w:val="24"/>
          <w:szCs w:val="24"/>
          <w:lang w:val="en-US"/>
        </w:rPr>
        <w:t>us</w:t>
      </w:r>
      <w:r w:rsidR="004758C8">
        <w:rPr>
          <w:rFonts w:ascii="Times New Roman" w:hAnsi="Times New Roman" w:cs="Times New Roman"/>
          <w:color w:val="000000" w:themeColor="text1"/>
          <w:sz w:val="24"/>
          <w:szCs w:val="24"/>
          <w:lang w:val="en-US"/>
        </w:rPr>
        <w:t xml:space="preserve"> </w:t>
      </w:r>
      <w:proofErr w:type="spellStart"/>
      <w:r w:rsidR="00544AC5">
        <w:rPr>
          <w:rFonts w:ascii="Times New Roman" w:hAnsi="Times New Roman" w:cs="Times New Roman"/>
          <w:color w:val="000000" w:themeColor="text1"/>
          <w:sz w:val="24"/>
          <w:szCs w:val="24"/>
          <w:lang w:val="en-US"/>
        </w:rPr>
        <w:t>sel</w:t>
      </w:r>
      <w:proofErr w:type="spellEnd"/>
      <w:r w:rsidR="00544AC5">
        <w:rPr>
          <w:rFonts w:ascii="Times New Roman" w:hAnsi="Times New Roman" w:cs="Times New Roman"/>
          <w:color w:val="000000" w:themeColor="text1"/>
          <w:sz w:val="24"/>
          <w:szCs w:val="24"/>
          <w:lang w:val="en-US"/>
        </w:rPr>
        <w:t xml:space="preserve"> </w:t>
      </w:r>
      <w:proofErr w:type="spellStart"/>
      <w:r w:rsidR="00544AC5">
        <w:rPr>
          <w:rFonts w:ascii="Times New Roman" w:hAnsi="Times New Roman" w:cs="Times New Roman"/>
          <w:color w:val="000000" w:themeColor="text1"/>
          <w:sz w:val="24"/>
          <w:szCs w:val="24"/>
          <w:lang w:val="en-US"/>
        </w:rPr>
        <w:t>inflamasi</w:t>
      </w:r>
      <w:proofErr w:type="spellEnd"/>
      <w:r w:rsidR="004758C8">
        <w:rPr>
          <w:rFonts w:ascii="Times New Roman" w:hAnsi="Times New Roman" w:cs="Times New Roman"/>
          <w:color w:val="000000" w:themeColor="text1"/>
          <w:sz w:val="24"/>
          <w:szCs w:val="24"/>
          <w:lang w:val="en-US"/>
        </w:rPr>
        <w:t xml:space="preserve"> </w:t>
      </w:r>
      <w:proofErr w:type="spellStart"/>
      <w:r w:rsidR="00DC7A93">
        <w:rPr>
          <w:rFonts w:ascii="Times New Roman" w:hAnsi="Times New Roman" w:cs="Times New Roman"/>
          <w:color w:val="000000" w:themeColor="text1"/>
          <w:sz w:val="24"/>
          <w:szCs w:val="24"/>
          <w:lang w:val="en-US"/>
        </w:rPr>
        <w:t>meliputi</w:t>
      </w:r>
      <w:proofErr w:type="spellEnd"/>
      <w:r w:rsidR="00DC7A93">
        <w:rPr>
          <w:rFonts w:ascii="Times New Roman" w:hAnsi="Times New Roman" w:cs="Times New Roman"/>
          <w:color w:val="000000" w:themeColor="text1"/>
          <w:sz w:val="24"/>
          <w:szCs w:val="24"/>
          <w:lang w:val="en-US"/>
        </w:rPr>
        <w:t xml:space="preserve"> </w:t>
      </w:r>
      <w:proofErr w:type="spellStart"/>
      <w:r w:rsidR="00544AC5">
        <w:rPr>
          <w:rFonts w:ascii="Times New Roman" w:hAnsi="Times New Roman" w:cs="Times New Roman"/>
          <w:color w:val="000000" w:themeColor="text1"/>
          <w:sz w:val="24"/>
          <w:szCs w:val="24"/>
          <w:lang w:val="en-US"/>
        </w:rPr>
        <w:t>rasio</w:t>
      </w:r>
      <w:proofErr w:type="spellEnd"/>
      <w:r w:rsidR="00544AC5">
        <w:rPr>
          <w:rFonts w:ascii="Times New Roman" w:hAnsi="Times New Roman" w:cs="Times New Roman"/>
          <w:color w:val="000000" w:themeColor="text1"/>
          <w:sz w:val="24"/>
          <w:szCs w:val="24"/>
          <w:lang w:val="en-US"/>
        </w:rPr>
        <w:t xml:space="preserve"> </w:t>
      </w:r>
      <w:proofErr w:type="spellStart"/>
      <w:r w:rsidR="00544AC5">
        <w:rPr>
          <w:rFonts w:ascii="Times New Roman" w:hAnsi="Times New Roman" w:cs="Times New Roman"/>
          <w:color w:val="000000" w:themeColor="text1"/>
          <w:sz w:val="24"/>
          <w:szCs w:val="24"/>
          <w:lang w:val="en-US"/>
        </w:rPr>
        <w:t>sel</w:t>
      </w:r>
      <w:proofErr w:type="spellEnd"/>
      <w:r w:rsidR="00544AC5">
        <w:rPr>
          <w:rFonts w:ascii="Times New Roman" w:hAnsi="Times New Roman" w:cs="Times New Roman"/>
          <w:color w:val="000000" w:themeColor="text1"/>
          <w:sz w:val="24"/>
          <w:szCs w:val="24"/>
          <w:lang w:val="en-US"/>
        </w:rPr>
        <w:t xml:space="preserve"> </w:t>
      </w:r>
      <w:proofErr w:type="spellStart"/>
      <w:r w:rsidR="00544AC5">
        <w:rPr>
          <w:rFonts w:ascii="Times New Roman" w:hAnsi="Times New Roman" w:cs="Times New Roman"/>
          <w:color w:val="000000" w:themeColor="text1"/>
          <w:sz w:val="24"/>
          <w:szCs w:val="24"/>
          <w:lang w:val="en-US"/>
        </w:rPr>
        <w:t>netrofil-limfosit</w:t>
      </w:r>
      <w:proofErr w:type="spellEnd"/>
      <w:r w:rsidR="003654A2">
        <w:rPr>
          <w:rFonts w:ascii="Times New Roman" w:hAnsi="Times New Roman" w:cs="Times New Roman"/>
          <w:color w:val="000000" w:themeColor="text1"/>
          <w:sz w:val="24"/>
          <w:szCs w:val="24"/>
          <w:lang w:val="en-US"/>
        </w:rPr>
        <w:t xml:space="preserve"> (NLR)</w:t>
      </w:r>
      <w:r w:rsidR="00544AC5">
        <w:rPr>
          <w:rFonts w:ascii="Times New Roman" w:hAnsi="Times New Roman" w:cs="Times New Roman"/>
          <w:color w:val="000000" w:themeColor="text1"/>
          <w:sz w:val="24"/>
          <w:szCs w:val="24"/>
          <w:lang w:val="en-US"/>
        </w:rPr>
        <w:t xml:space="preserve"> </w:t>
      </w:r>
      <w:proofErr w:type="spellStart"/>
      <w:r w:rsidR="00EC143B">
        <w:rPr>
          <w:rFonts w:ascii="Times New Roman" w:hAnsi="Times New Roman" w:cs="Times New Roman"/>
          <w:color w:val="000000" w:themeColor="text1"/>
          <w:sz w:val="24"/>
          <w:szCs w:val="24"/>
          <w:lang w:val="en-US"/>
        </w:rPr>
        <w:t>tinggi</w:t>
      </w:r>
      <w:proofErr w:type="spellEnd"/>
      <w:r w:rsidR="00EC143B">
        <w:rPr>
          <w:rFonts w:ascii="Times New Roman" w:hAnsi="Times New Roman" w:cs="Times New Roman"/>
          <w:color w:val="000000" w:themeColor="text1"/>
          <w:sz w:val="24"/>
          <w:szCs w:val="24"/>
          <w:lang w:val="en-US"/>
        </w:rPr>
        <w:t xml:space="preserve"> </w:t>
      </w:r>
      <w:proofErr w:type="spellStart"/>
      <w:r w:rsidR="00EC143B">
        <w:rPr>
          <w:rFonts w:ascii="Times New Roman" w:hAnsi="Times New Roman" w:cs="Times New Roman"/>
          <w:color w:val="000000" w:themeColor="text1"/>
          <w:sz w:val="24"/>
          <w:szCs w:val="24"/>
          <w:lang w:val="en-US"/>
        </w:rPr>
        <w:t>sebesar</w:t>
      </w:r>
      <w:proofErr w:type="spellEnd"/>
      <w:r w:rsidR="00EC143B">
        <w:rPr>
          <w:rFonts w:ascii="Times New Roman" w:hAnsi="Times New Roman" w:cs="Times New Roman"/>
          <w:color w:val="000000" w:themeColor="text1"/>
          <w:sz w:val="24"/>
          <w:szCs w:val="24"/>
          <w:lang w:val="en-US"/>
        </w:rPr>
        <w:t xml:space="preserve"> 70,4% </w:t>
      </w:r>
      <w:r w:rsidR="00544AC5">
        <w:rPr>
          <w:rFonts w:ascii="Times New Roman" w:hAnsi="Times New Roman" w:cs="Times New Roman"/>
          <w:color w:val="000000" w:themeColor="text1"/>
          <w:sz w:val="24"/>
          <w:szCs w:val="24"/>
          <w:lang w:val="en-US"/>
        </w:rPr>
        <w:t xml:space="preserve">dan </w:t>
      </w:r>
      <w:proofErr w:type="spellStart"/>
      <w:r w:rsidR="00544AC5">
        <w:rPr>
          <w:rFonts w:ascii="Times New Roman" w:hAnsi="Times New Roman" w:cs="Times New Roman"/>
          <w:color w:val="000000" w:themeColor="text1"/>
          <w:sz w:val="24"/>
          <w:szCs w:val="24"/>
          <w:lang w:val="en-US"/>
        </w:rPr>
        <w:t>rasio</w:t>
      </w:r>
      <w:proofErr w:type="spellEnd"/>
      <w:r w:rsidR="00544AC5">
        <w:rPr>
          <w:rFonts w:ascii="Times New Roman" w:hAnsi="Times New Roman" w:cs="Times New Roman"/>
          <w:color w:val="000000" w:themeColor="text1"/>
          <w:sz w:val="24"/>
          <w:szCs w:val="24"/>
          <w:lang w:val="en-US"/>
        </w:rPr>
        <w:t xml:space="preserve"> </w:t>
      </w:r>
      <w:proofErr w:type="spellStart"/>
      <w:r w:rsidR="00544AC5">
        <w:rPr>
          <w:rFonts w:ascii="Times New Roman" w:hAnsi="Times New Roman" w:cs="Times New Roman"/>
          <w:color w:val="000000" w:themeColor="text1"/>
          <w:sz w:val="24"/>
          <w:szCs w:val="24"/>
          <w:lang w:val="en-US"/>
        </w:rPr>
        <w:t>sel</w:t>
      </w:r>
      <w:proofErr w:type="spellEnd"/>
      <w:r w:rsidR="00544AC5">
        <w:rPr>
          <w:rFonts w:ascii="Times New Roman" w:hAnsi="Times New Roman" w:cs="Times New Roman"/>
          <w:color w:val="000000" w:themeColor="text1"/>
          <w:sz w:val="24"/>
          <w:szCs w:val="24"/>
          <w:lang w:val="en-US"/>
        </w:rPr>
        <w:t xml:space="preserve"> </w:t>
      </w:r>
      <w:proofErr w:type="spellStart"/>
      <w:r w:rsidR="00544AC5">
        <w:rPr>
          <w:rFonts w:ascii="Times New Roman" w:hAnsi="Times New Roman" w:cs="Times New Roman"/>
          <w:color w:val="000000" w:themeColor="text1"/>
          <w:sz w:val="24"/>
          <w:szCs w:val="24"/>
          <w:lang w:val="en-US"/>
        </w:rPr>
        <w:t>trombosit-limfosit</w:t>
      </w:r>
      <w:proofErr w:type="spellEnd"/>
      <w:r w:rsidR="00577B6F">
        <w:rPr>
          <w:rFonts w:ascii="Times New Roman" w:hAnsi="Times New Roman" w:cs="Times New Roman"/>
          <w:color w:val="000000" w:themeColor="text1"/>
          <w:sz w:val="24"/>
          <w:szCs w:val="24"/>
          <w:lang w:val="en-US"/>
        </w:rPr>
        <w:t xml:space="preserve"> </w:t>
      </w:r>
      <w:r w:rsidR="003654A2">
        <w:rPr>
          <w:rFonts w:ascii="Times New Roman" w:hAnsi="Times New Roman" w:cs="Times New Roman"/>
          <w:color w:val="000000" w:themeColor="text1"/>
          <w:sz w:val="24"/>
          <w:szCs w:val="24"/>
          <w:lang w:val="en-US"/>
        </w:rPr>
        <w:t xml:space="preserve">(PLR) </w:t>
      </w:r>
      <w:proofErr w:type="spellStart"/>
      <w:r w:rsidR="00577B6F">
        <w:rPr>
          <w:rFonts w:ascii="Times New Roman" w:hAnsi="Times New Roman" w:cs="Times New Roman"/>
          <w:color w:val="000000" w:themeColor="text1"/>
          <w:sz w:val="24"/>
          <w:szCs w:val="24"/>
          <w:lang w:val="en-US"/>
        </w:rPr>
        <w:t>tinggi</w:t>
      </w:r>
      <w:proofErr w:type="spellEnd"/>
      <w:r w:rsidR="00577B6F">
        <w:rPr>
          <w:rFonts w:ascii="Times New Roman" w:hAnsi="Times New Roman" w:cs="Times New Roman"/>
          <w:color w:val="000000" w:themeColor="text1"/>
          <w:sz w:val="24"/>
          <w:szCs w:val="24"/>
          <w:lang w:val="en-US"/>
        </w:rPr>
        <w:t xml:space="preserve"> </w:t>
      </w:r>
      <w:proofErr w:type="spellStart"/>
      <w:r w:rsidR="00577B6F">
        <w:rPr>
          <w:rFonts w:ascii="Times New Roman" w:hAnsi="Times New Roman" w:cs="Times New Roman"/>
          <w:color w:val="000000" w:themeColor="text1"/>
          <w:sz w:val="24"/>
          <w:szCs w:val="24"/>
          <w:lang w:val="en-US"/>
        </w:rPr>
        <w:t>mencapai</w:t>
      </w:r>
      <w:proofErr w:type="spellEnd"/>
      <w:r w:rsidR="00577B6F">
        <w:rPr>
          <w:rFonts w:ascii="Times New Roman" w:hAnsi="Times New Roman" w:cs="Times New Roman"/>
          <w:color w:val="000000" w:themeColor="text1"/>
          <w:sz w:val="24"/>
          <w:szCs w:val="24"/>
          <w:lang w:val="en-US"/>
        </w:rPr>
        <w:t xml:space="preserve"> 62,8%.</w:t>
      </w:r>
      <w:r w:rsidR="00DC7A93">
        <w:rPr>
          <w:rFonts w:ascii="Times New Roman" w:hAnsi="Times New Roman" w:cs="Times New Roman"/>
          <w:color w:val="000000" w:themeColor="text1"/>
          <w:sz w:val="24"/>
          <w:szCs w:val="24"/>
          <w:lang w:val="en-US"/>
        </w:rPr>
        <w:t xml:space="preserve"> </w:t>
      </w:r>
      <w:r w:rsidR="00446013" w:rsidRPr="00E20E49">
        <w:rPr>
          <w:rFonts w:ascii="Times New Roman" w:hAnsi="Times New Roman" w:cs="Times New Roman"/>
          <w:b/>
          <w:color w:val="000000" w:themeColor="text1"/>
          <w:sz w:val="24"/>
          <w:szCs w:val="24"/>
          <w:lang w:val="zh-CN"/>
        </w:rPr>
        <w:t>Kesimpulan :</w:t>
      </w:r>
      <w:r w:rsidR="00446013" w:rsidRPr="00E20E49">
        <w:rPr>
          <w:rFonts w:ascii="Times New Roman" w:hAnsi="Times New Roman" w:cs="Times New Roman"/>
          <w:b/>
          <w:color w:val="000000" w:themeColor="text1"/>
          <w:sz w:val="24"/>
          <w:szCs w:val="24"/>
          <w:lang w:val="en-US"/>
        </w:rPr>
        <w:t xml:space="preserve"> </w:t>
      </w:r>
      <w:r w:rsidR="00EC143B">
        <w:rPr>
          <w:rFonts w:ascii="Times New Roman" w:hAnsi="Times New Roman" w:cs="Times New Roman"/>
          <w:color w:val="000000" w:themeColor="text1"/>
          <w:sz w:val="24"/>
          <w:szCs w:val="24"/>
          <w:lang w:val="en-US"/>
        </w:rPr>
        <w:t xml:space="preserve">Status </w:t>
      </w:r>
      <w:proofErr w:type="spellStart"/>
      <w:r w:rsidR="00EC143B">
        <w:rPr>
          <w:rFonts w:ascii="Times New Roman" w:hAnsi="Times New Roman" w:cs="Times New Roman"/>
          <w:color w:val="000000" w:themeColor="text1"/>
          <w:sz w:val="24"/>
          <w:szCs w:val="24"/>
          <w:lang w:val="en-US"/>
        </w:rPr>
        <w:t>sel</w:t>
      </w:r>
      <w:proofErr w:type="spellEnd"/>
      <w:r w:rsidR="00EC143B">
        <w:rPr>
          <w:rFonts w:ascii="Times New Roman" w:hAnsi="Times New Roman" w:cs="Times New Roman"/>
          <w:color w:val="000000" w:themeColor="text1"/>
          <w:sz w:val="24"/>
          <w:szCs w:val="24"/>
          <w:lang w:val="en-US"/>
        </w:rPr>
        <w:t xml:space="preserve"> </w:t>
      </w:r>
      <w:proofErr w:type="spellStart"/>
      <w:r w:rsidR="00EC143B">
        <w:rPr>
          <w:rFonts w:ascii="Times New Roman" w:hAnsi="Times New Roman" w:cs="Times New Roman"/>
          <w:color w:val="000000" w:themeColor="text1"/>
          <w:sz w:val="24"/>
          <w:szCs w:val="24"/>
          <w:lang w:val="en-US"/>
        </w:rPr>
        <w:t>inflamasi</w:t>
      </w:r>
      <w:proofErr w:type="spellEnd"/>
      <w:r w:rsidR="00DC7A93" w:rsidRPr="001C3461">
        <w:rPr>
          <w:rFonts w:ascii="Times New Roman" w:hAnsi="Times New Roman" w:cs="Times New Roman"/>
          <w:color w:val="000000" w:themeColor="text1"/>
          <w:sz w:val="24"/>
          <w:szCs w:val="24"/>
          <w:lang w:val="en-US"/>
        </w:rPr>
        <w:t xml:space="preserve"> </w:t>
      </w:r>
      <w:proofErr w:type="spellStart"/>
      <w:r w:rsidR="00DC7A93" w:rsidRPr="001C3461">
        <w:rPr>
          <w:rFonts w:ascii="Times New Roman" w:hAnsi="Times New Roman" w:cs="Times New Roman"/>
          <w:color w:val="000000" w:themeColor="text1"/>
          <w:sz w:val="24"/>
          <w:szCs w:val="24"/>
          <w:lang w:val="en-US"/>
        </w:rPr>
        <w:t>terbanyak</w:t>
      </w:r>
      <w:proofErr w:type="spellEnd"/>
      <w:r w:rsidR="00DC7A93" w:rsidRPr="001C3461">
        <w:rPr>
          <w:rFonts w:ascii="Times New Roman" w:hAnsi="Times New Roman" w:cs="Times New Roman"/>
          <w:color w:val="000000" w:themeColor="text1"/>
          <w:sz w:val="24"/>
          <w:szCs w:val="24"/>
          <w:lang w:val="en-US"/>
        </w:rPr>
        <w:t xml:space="preserve"> pada </w:t>
      </w:r>
      <w:proofErr w:type="spellStart"/>
      <w:r w:rsidR="00DC7A93" w:rsidRPr="001C3461">
        <w:rPr>
          <w:rFonts w:ascii="Times New Roman" w:hAnsi="Times New Roman" w:cs="Times New Roman"/>
          <w:color w:val="000000" w:themeColor="text1"/>
          <w:sz w:val="24"/>
          <w:szCs w:val="24"/>
          <w:lang w:val="en-US"/>
        </w:rPr>
        <w:t>pasien</w:t>
      </w:r>
      <w:proofErr w:type="spellEnd"/>
      <w:r w:rsidR="00DC7A93" w:rsidRPr="001C3461">
        <w:rPr>
          <w:rFonts w:ascii="Times New Roman" w:hAnsi="Times New Roman" w:cs="Times New Roman"/>
          <w:color w:val="000000" w:themeColor="text1"/>
          <w:sz w:val="24"/>
          <w:szCs w:val="24"/>
          <w:lang w:val="en-US"/>
        </w:rPr>
        <w:t xml:space="preserve"> KNF di RS PKU Muhammadiyah Gombong </w:t>
      </w:r>
      <w:proofErr w:type="spellStart"/>
      <w:r w:rsidR="00DC7A93" w:rsidRPr="001C3461">
        <w:rPr>
          <w:rFonts w:ascii="Times New Roman" w:hAnsi="Times New Roman" w:cs="Times New Roman"/>
          <w:color w:val="000000" w:themeColor="text1"/>
          <w:sz w:val="24"/>
          <w:szCs w:val="24"/>
          <w:lang w:val="en-US"/>
        </w:rPr>
        <w:t>adalah</w:t>
      </w:r>
      <w:proofErr w:type="spellEnd"/>
      <w:r w:rsidR="00EC143B">
        <w:rPr>
          <w:rFonts w:ascii="Times New Roman" w:hAnsi="Times New Roman" w:cs="Times New Roman"/>
          <w:color w:val="000000" w:themeColor="text1"/>
          <w:sz w:val="24"/>
          <w:szCs w:val="24"/>
          <w:lang w:val="en-US"/>
        </w:rPr>
        <w:t xml:space="preserve"> NLR </w:t>
      </w:r>
      <w:proofErr w:type="spellStart"/>
      <w:r w:rsidR="00EC143B">
        <w:rPr>
          <w:rFonts w:ascii="Times New Roman" w:hAnsi="Times New Roman" w:cs="Times New Roman"/>
          <w:color w:val="000000" w:themeColor="text1"/>
          <w:sz w:val="24"/>
          <w:szCs w:val="24"/>
          <w:lang w:val="en-US"/>
        </w:rPr>
        <w:t>tinggi</w:t>
      </w:r>
      <w:proofErr w:type="spellEnd"/>
      <w:r w:rsidR="00EC143B">
        <w:rPr>
          <w:rFonts w:ascii="Times New Roman" w:hAnsi="Times New Roman" w:cs="Times New Roman"/>
          <w:color w:val="000000" w:themeColor="text1"/>
          <w:sz w:val="24"/>
          <w:szCs w:val="24"/>
          <w:lang w:val="en-US"/>
        </w:rPr>
        <w:t xml:space="preserve"> dan PLR </w:t>
      </w:r>
      <w:proofErr w:type="spellStart"/>
      <w:r w:rsidR="00EC143B">
        <w:rPr>
          <w:rFonts w:ascii="Times New Roman" w:hAnsi="Times New Roman" w:cs="Times New Roman"/>
          <w:color w:val="000000" w:themeColor="text1"/>
          <w:sz w:val="24"/>
          <w:szCs w:val="24"/>
          <w:lang w:val="en-US"/>
        </w:rPr>
        <w:t>tinggi</w:t>
      </w:r>
      <w:proofErr w:type="spellEnd"/>
      <w:r w:rsidR="00EC143B">
        <w:rPr>
          <w:rFonts w:ascii="Times New Roman" w:hAnsi="Times New Roman" w:cs="Times New Roman"/>
          <w:color w:val="000000" w:themeColor="text1"/>
          <w:sz w:val="24"/>
          <w:szCs w:val="24"/>
          <w:lang w:val="en-US"/>
        </w:rPr>
        <w:t xml:space="preserve"> yang </w:t>
      </w:r>
      <w:proofErr w:type="spellStart"/>
      <w:r w:rsidR="00EC143B">
        <w:rPr>
          <w:rFonts w:ascii="Times New Roman" w:hAnsi="Times New Roman" w:cs="Times New Roman"/>
          <w:color w:val="000000" w:themeColor="text1"/>
          <w:sz w:val="24"/>
          <w:szCs w:val="24"/>
          <w:lang w:val="en-US"/>
        </w:rPr>
        <w:t>selaras</w:t>
      </w:r>
      <w:proofErr w:type="spellEnd"/>
      <w:r w:rsidR="00EC143B">
        <w:rPr>
          <w:rFonts w:ascii="Times New Roman" w:hAnsi="Times New Roman" w:cs="Times New Roman"/>
          <w:color w:val="000000" w:themeColor="text1"/>
          <w:sz w:val="24"/>
          <w:szCs w:val="24"/>
          <w:lang w:val="en-US"/>
        </w:rPr>
        <w:t xml:space="preserve"> </w:t>
      </w:r>
      <w:proofErr w:type="spellStart"/>
      <w:r w:rsidR="00EC143B">
        <w:rPr>
          <w:rFonts w:ascii="Times New Roman" w:hAnsi="Times New Roman" w:cs="Times New Roman"/>
          <w:color w:val="000000" w:themeColor="text1"/>
          <w:sz w:val="24"/>
          <w:szCs w:val="24"/>
          <w:lang w:val="en-US"/>
        </w:rPr>
        <w:t>dengan</w:t>
      </w:r>
      <w:proofErr w:type="spellEnd"/>
      <w:r w:rsidR="00EC143B">
        <w:rPr>
          <w:rFonts w:ascii="Times New Roman" w:hAnsi="Times New Roman" w:cs="Times New Roman"/>
          <w:color w:val="000000" w:themeColor="text1"/>
          <w:sz w:val="24"/>
          <w:szCs w:val="24"/>
          <w:lang w:val="en-US"/>
        </w:rPr>
        <w:t xml:space="preserve">  </w:t>
      </w:r>
      <w:proofErr w:type="spellStart"/>
      <w:r w:rsidR="00EC143B">
        <w:rPr>
          <w:rFonts w:ascii="Times New Roman" w:hAnsi="Times New Roman" w:cs="Times New Roman"/>
          <w:color w:val="000000" w:themeColor="text1"/>
          <w:sz w:val="24"/>
          <w:szCs w:val="24"/>
          <w:lang w:val="en-US"/>
        </w:rPr>
        <w:t>temuan</w:t>
      </w:r>
      <w:proofErr w:type="spellEnd"/>
      <w:r w:rsidR="00EC143B">
        <w:rPr>
          <w:rFonts w:ascii="Times New Roman" w:hAnsi="Times New Roman" w:cs="Times New Roman"/>
          <w:color w:val="000000" w:themeColor="text1"/>
          <w:sz w:val="24"/>
          <w:szCs w:val="24"/>
          <w:lang w:val="en-US"/>
        </w:rPr>
        <w:t xml:space="preserve"> stadium T </w:t>
      </w:r>
      <w:proofErr w:type="spellStart"/>
      <w:r w:rsidR="00EC143B">
        <w:rPr>
          <w:rFonts w:ascii="Times New Roman" w:hAnsi="Times New Roman" w:cs="Times New Roman"/>
          <w:color w:val="000000" w:themeColor="text1"/>
          <w:sz w:val="24"/>
          <w:szCs w:val="24"/>
          <w:lang w:val="en-US"/>
        </w:rPr>
        <w:t>tinggi</w:t>
      </w:r>
      <w:proofErr w:type="spellEnd"/>
      <w:r w:rsidR="00EC143B">
        <w:rPr>
          <w:rFonts w:ascii="Times New Roman" w:hAnsi="Times New Roman" w:cs="Times New Roman"/>
          <w:color w:val="000000" w:themeColor="text1"/>
          <w:sz w:val="24"/>
          <w:szCs w:val="24"/>
          <w:lang w:val="en-US"/>
        </w:rPr>
        <w:t xml:space="preserve"> </w:t>
      </w:r>
      <w:proofErr w:type="spellStart"/>
      <w:r w:rsidR="00EC143B">
        <w:rPr>
          <w:rFonts w:ascii="Times New Roman" w:hAnsi="Times New Roman" w:cs="Times New Roman"/>
          <w:color w:val="000000" w:themeColor="text1"/>
          <w:sz w:val="24"/>
          <w:szCs w:val="24"/>
          <w:lang w:val="en-US"/>
        </w:rPr>
        <w:t>serta</w:t>
      </w:r>
      <w:proofErr w:type="spellEnd"/>
      <w:r w:rsidR="00EC143B">
        <w:rPr>
          <w:rFonts w:ascii="Times New Roman" w:hAnsi="Times New Roman" w:cs="Times New Roman"/>
          <w:color w:val="000000" w:themeColor="text1"/>
          <w:sz w:val="24"/>
          <w:szCs w:val="24"/>
          <w:lang w:val="en-US"/>
        </w:rPr>
        <w:t xml:space="preserve"> N </w:t>
      </w:r>
      <w:proofErr w:type="spellStart"/>
      <w:r w:rsidR="00EC143B">
        <w:rPr>
          <w:rFonts w:ascii="Times New Roman" w:hAnsi="Times New Roman" w:cs="Times New Roman"/>
          <w:color w:val="000000" w:themeColor="text1"/>
          <w:sz w:val="24"/>
          <w:szCs w:val="24"/>
          <w:lang w:val="en-US"/>
        </w:rPr>
        <w:t>positif</w:t>
      </w:r>
      <w:proofErr w:type="spellEnd"/>
      <w:r w:rsidR="00EC143B">
        <w:rPr>
          <w:rFonts w:ascii="Times New Roman" w:hAnsi="Times New Roman" w:cs="Times New Roman"/>
          <w:color w:val="000000" w:themeColor="text1"/>
          <w:sz w:val="24"/>
          <w:szCs w:val="24"/>
          <w:lang w:val="en-US"/>
        </w:rPr>
        <w:t xml:space="preserve"> (stadium </w:t>
      </w:r>
      <w:proofErr w:type="spellStart"/>
      <w:r w:rsidR="00EC143B">
        <w:rPr>
          <w:rFonts w:ascii="Times New Roman" w:hAnsi="Times New Roman" w:cs="Times New Roman"/>
          <w:color w:val="000000" w:themeColor="text1"/>
          <w:sz w:val="24"/>
          <w:szCs w:val="24"/>
          <w:lang w:val="en-US"/>
        </w:rPr>
        <w:t>kanker</w:t>
      </w:r>
      <w:proofErr w:type="spellEnd"/>
      <w:r w:rsidR="00EC143B">
        <w:rPr>
          <w:rFonts w:ascii="Times New Roman" w:hAnsi="Times New Roman" w:cs="Times New Roman"/>
          <w:color w:val="000000" w:themeColor="text1"/>
          <w:sz w:val="24"/>
          <w:szCs w:val="24"/>
          <w:lang w:val="en-US"/>
        </w:rPr>
        <w:t xml:space="preserve"> </w:t>
      </w:r>
      <w:proofErr w:type="spellStart"/>
      <w:r w:rsidR="00335923">
        <w:rPr>
          <w:rFonts w:ascii="Times New Roman" w:hAnsi="Times New Roman" w:cs="Times New Roman"/>
          <w:color w:val="000000" w:themeColor="text1"/>
          <w:sz w:val="24"/>
          <w:szCs w:val="24"/>
          <w:lang w:val="en-US"/>
        </w:rPr>
        <w:t>klinis</w:t>
      </w:r>
      <w:proofErr w:type="spellEnd"/>
      <w:r w:rsidR="00335923">
        <w:rPr>
          <w:rFonts w:ascii="Times New Roman" w:hAnsi="Times New Roman" w:cs="Times New Roman"/>
          <w:color w:val="000000" w:themeColor="text1"/>
          <w:sz w:val="24"/>
          <w:szCs w:val="24"/>
          <w:lang w:val="en-US"/>
        </w:rPr>
        <w:t xml:space="preserve"> </w:t>
      </w:r>
      <w:r w:rsidR="00EC143B">
        <w:rPr>
          <w:rFonts w:ascii="Times New Roman" w:hAnsi="Times New Roman" w:cs="Times New Roman"/>
          <w:color w:val="000000" w:themeColor="text1"/>
          <w:sz w:val="24"/>
          <w:szCs w:val="24"/>
          <w:lang w:val="en-US"/>
        </w:rPr>
        <w:t xml:space="preserve">yang </w:t>
      </w:r>
      <w:proofErr w:type="spellStart"/>
      <w:r w:rsidR="00EC143B">
        <w:rPr>
          <w:rFonts w:ascii="Times New Roman" w:hAnsi="Times New Roman" w:cs="Times New Roman"/>
          <w:color w:val="000000" w:themeColor="text1"/>
          <w:sz w:val="24"/>
          <w:szCs w:val="24"/>
          <w:lang w:val="en-US"/>
        </w:rPr>
        <w:t>lanjut</w:t>
      </w:r>
      <w:proofErr w:type="spellEnd"/>
      <w:r w:rsidR="00EC143B">
        <w:rPr>
          <w:rFonts w:ascii="Times New Roman" w:hAnsi="Times New Roman" w:cs="Times New Roman"/>
          <w:color w:val="000000" w:themeColor="text1"/>
          <w:sz w:val="24"/>
          <w:szCs w:val="24"/>
          <w:lang w:val="en-US"/>
        </w:rPr>
        <w:t>).</w:t>
      </w:r>
    </w:p>
    <w:p w14:paraId="6CFCDA0E" w14:textId="6C8CCABF" w:rsidR="00446013" w:rsidRPr="00DC7A93" w:rsidRDefault="00446013" w:rsidP="00E20E49">
      <w:pPr>
        <w:pStyle w:val="NoSpacing"/>
        <w:spacing w:line="360" w:lineRule="auto"/>
        <w:jc w:val="both"/>
        <w:rPr>
          <w:rFonts w:ascii="Times New Roman" w:hAnsi="Times New Roman" w:cs="Times New Roman"/>
          <w:b/>
          <w:color w:val="000000" w:themeColor="text1"/>
          <w:sz w:val="24"/>
          <w:szCs w:val="24"/>
          <w:lang w:val="en-US"/>
        </w:rPr>
      </w:pPr>
      <w:r w:rsidRPr="00E20E49">
        <w:rPr>
          <w:rFonts w:ascii="Times New Roman" w:hAnsi="Times New Roman" w:cs="Times New Roman"/>
          <w:b/>
          <w:sz w:val="24"/>
          <w:szCs w:val="24"/>
        </w:rPr>
        <w:t xml:space="preserve">Kata kunci : </w:t>
      </w:r>
      <w:proofErr w:type="spellStart"/>
      <w:r w:rsidR="00DC7A93">
        <w:rPr>
          <w:rFonts w:ascii="Times New Roman" w:hAnsi="Times New Roman" w:cs="Times New Roman"/>
          <w:b/>
          <w:color w:val="000000" w:themeColor="text1"/>
          <w:sz w:val="24"/>
          <w:szCs w:val="24"/>
          <w:lang w:val="en-US"/>
        </w:rPr>
        <w:t>Karsinoma</w:t>
      </w:r>
      <w:proofErr w:type="spellEnd"/>
      <w:r w:rsidR="00DC7A93">
        <w:rPr>
          <w:rFonts w:ascii="Times New Roman" w:hAnsi="Times New Roman" w:cs="Times New Roman"/>
          <w:b/>
          <w:color w:val="000000" w:themeColor="text1"/>
          <w:sz w:val="24"/>
          <w:szCs w:val="24"/>
          <w:lang w:val="en-US"/>
        </w:rPr>
        <w:t xml:space="preserve"> </w:t>
      </w:r>
      <w:proofErr w:type="spellStart"/>
      <w:r w:rsidR="00DC7A93">
        <w:rPr>
          <w:rFonts w:ascii="Times New Roman" w:hAnsi="Times New Roman" w:cs="Times New Roman"/>
          <w:b/>
          <w:color w:val="000000" w:themeColor="text1"/>
          <w:sz w:val="24"/>
          <w:szCs w:val="24"/>
          <w:lang w:val="en-US"/>
        </w:rPr>
        <w:t>Nasofaring</w:t>
      </w:r>
      <w:proofErr w:type="spellEnd"/>
      <w:r w:rsidRPr="00E20E49">
        <w:rPr>
          <w:rFonts w:ascii="Times New Roman" w:hAnsi="Times New Roman" w:cs="Times New Roman"/>
          <w:b/>
          <w:color w:val="000000" w:themeColor="text1"/>
          <w:sz w:val="24"/>
          <w:szCs w:val="24"/>
          <w:lang w:val="zh-CN"/>
        </w:rPr>
        <w:t xml:space="preserve">,  </w:t>
      </w:r>
      <w:r w:rsidR="003654A2">
        <w:rPr>
          <w:rFonts w:ascii="Times New Roman" w:hAnsi="Times New Roman" w:cs="Times New Roman"/>
          <w:b/>
          <w:color w:val="000000" w:themeColor="text1"/>
          <w:sz w:val="24"/>
          <w:szCs w:val="24"/>
          <w:lang w:val="en-US"/>
        </w:rPr>
        <w:t>PLR</w:t>
      </w:r>
      <w:r w:rsidR="00DC7A93">
        <w:rPr>
          <w:rFonts w:ascii="Times New Roman" w:hAnsi="Times New Roman" w:cs="Times New Roman"/>
          <w:b/>
          <w:color w:val="000000" w:themeColor="text1"/>
          <w:sz w:val="24"/>
          <w:szCs w:val="24"/>
          <w:lang w:val="en-US"/>
        </w:rPr>
        <w:t xml:space="preserve">, </w:t>
      </w:r>
      <w:r w:rsidR="003654A2">
        <w:rPr>
          <w:rFonts w:ascii="Times New Roman" w:hAnsi="Times New Roman" w:cs="Times New Roman"/>
          <w:b/>
          <w:color w:val="000000" w:themeColor="text1"/>
          <w:sz w:val="24"/>
          <w:szCs w:val="24"/>
          <w:lang w:val="en-US"/>
        </w:rPr>
        <w:t>NLR</w:t>
      </w:r>
      <w:r w:rsidR="00DC7A93">
        <w:rPr>
          <w:rFonts w:ascii="Times New Roman" w:hAnsi="Times New Roman" w:cs="Times New Roman"/>
          <w:b/>
          <w:color w:val="000000" w:themeColor="text1"/>
          <w:sz w:val="24"/>
          <w:szCs w:val="24"/>
          <w:lang w:val="en-US"/>
        </w:rPr>
        <w:t>, Stadium</w:t>
      </w:r>
    </w:p>
    <w:p w14:paraId="5FF1252B" w14:textId="21B3BA8C" w:rsidR="00446013" w:rsidRDefault="00446013" w:rsidP="00E20E49">
      <w:pPr>
        <w:spacing w:line="360" w:lineRule="auto"/>
        <w:rPr>
          <w:rFonts w:ascii="Times New Roman" w:hAnsi="Times New Roman" w:cs="Times New Roman"/>
          <w:b/>
          <w:bCs/>
          <w:sz w:val="24"/>
          <w:szCs w:val="24"/>
        </w:rPr>
      </w:pPr>
    </w:p>
    <w:p w14:paraId="0708619B" w14:textId="67953B7E" w:rsidR="0063544F" w:rsidRDefault="0063544F" w:rsidP="00E20E49">
      <w:pPr>
        <w:spacing w:line="360" w:lineRule="auto"/>
        <w:rPr>
          <w:rFonts w:ascii="Times New Roman" w:hAnsi="Times New Roman" w:cs="Times New Roman"/>
          <w:b/>
          <w:bCs/>
          <w:sz w:val="24"/>
          <w:szCs w:val="24"/>
        </w:rPr>
      </w:pPr>
    </w:p>
    <w:p w14:paraId="631835DA" w14:textId="32D6C74F" w:rsidR="0063544F" w:rsidRDefault="0063544F" w:rsidP="00E20E49">
      <w:pPr>
        <w:spacing w:line="360" w:lineRule="auto"/>
        <w:rPr>
          <w:rFonts w:ascii="Times New Roman" w:hAnsi="Times New Roman" w:cs="Times New Roman"/>
          <w:b/>
          <w:bCs/>
          <w:sz w:val="24"/>
          <w:szCs w:val="24"/>
        </w:rPr>
      </w:pPr>
    </w:p>
    <w:p w14:paraId="74A8F6BD" w14:textId="110EB716" w:rsidR="0063544F" w:rsidRDefault="0063544F" w:rsidP="00E20E49">
      <w:pPr>
        <w:spacing w:line="360" w:lineRule="auto"/>
        <w:rPr>
          <w:rFonts w:ascii="Times New Roman" w:hAnsi="Times New Roman" w:cs="Times New Roman"/>
          <w:b/>
          <w:bCs/>
          <w:sz w:val="24"/>
          <w:szCs w:val="24"/>
        </w:rPr>
      </w:pPr>
    </w:p>
    <w:p w14:paraId="2CC43921" w14:textId="77777777" w:rsidR="000A593B" w:rsidRPr="000A593B" w:rsidRDefault="000A593B" w:rsidP="000A593B">
      <w:pPr>
        <w:spacing w:after="0" w:line="360" w:lineRule="auto"/>
        <w:jc w:val="center"/>
        <w:rPr>
          <w:rFonts w:ascii="Times New Roman" w:hAnsi="Times New Roman" w:cs="Times New Roman"/>
          <w:b/>
          <w:bCs/>
          <w:sz w:val="24"/>
          <w:szCs w:val="24"/>
        </w:rPr>
      </w:pPr>
      <w:r w:rsidRPr="000A593B">
        <w:rPr>
          <w:rFonts w:ascii="Times New Roman" w:hAnsi="Times New Roman" w:cs="Times New Roman"/>
          <w:b/>
          <w:bCs/>
          <w:sz w:val="24"/>
          <w:szCs w:val="24"/>
        </w:rPr>
        <w:lastRenderedPageBreak/>
        <w:t>Inflammatory Cell Status and Nasopharyngeal Cancer Stage</w:t>
      </w:r>
    </w:p>
    <w:p w14:paraId="7ED07F8D" w14:textId="77777777" w:rsidR="000A593B" w:rsidRPr="000A593B" w:rsidRDefault="000A593B" w:rsidP="000A593B">
      <w:pPr>
        <w:spacing w:after="0" w:line="360" w:lineRule="auto"/>
        <w:jc w:val="center"/>
        <w:rPr>
          <w:rFonts w:ascii="Times New Roman" w:hAnsi="Times New Roman" w:cs="Times New Roman"/>
          <w:b/>
          <w:bCs/>
          <w:sz w:val="24"/>
          <w:szCs w:val="24"/>
        </w:rPr>
      </w:pPr>
      <w:r w:rsidRPr="000A593B">
        <w:rPr>
          <w:rFonts w:ascii="Times New Roman" w:hAnsi="Times New Roman" w:cs="Times New Roman"/>
          <w:b/>
          <w:bCs/>
          <w:sz w:val="24"/>
          <w:szCs w:val="24"/>
        </w:rPr>
        <w:t xml:space="preserve">at PKU Muhammadiyah Hospital </w:t>
      </w:r>
      <w:proofErr w:type="spellStart"/>
      <w:r w:rsidRPr="000A593B">
        <w:rPr>
          <w:rFonts w:ascii="Times New Roman" w:hAnsi="Times New Roman" w:cs="Times New Roman"/>
          <w:b/>
          <w:bCs/>
          <w:sz w:val="24"/>
          <w:szCs w:val="24"/>
        </w:rPr>
        <w:t>Gombong</w:t>
      </w:r>
      <w:proofErr w:type="spellEnd"/>
    </w:p>
    <w:p w14:paraId="1FBA38E3" w14:textId="77777777" w:rsidR="000A593B" w:rsidRPr="000A593B" w:rsidRDefault="000A593B" w:rsidP="000A593B">
      <w:pPr>
        <w:spacing w:after="0" w:line="360" w:lineRule="auto"/>
        <w:rPr>
          <w:rFonts w:ascii="Times New Roman" w:hAnsi="Times New Roman" w:cs="Times New Roman"/>
          <w:b/>
          <w:bCs/>
          <w:sz w:val="24"/>
          <w:szCs w:val="24"/>
        </w:rPr>
      </w:pPr>
    </w:p>
    <w:p w14:paraId="46252F43" w14:textId="17D44BE4" w:rsidR="000A593B" w:rsidRPr="000A593B" w:rsidRDefault="000A593B" w:rsidP="000A593B">
      <w:pPr>
        <w:spacing w:after="0" w:line="360" w:lineRule="auto"/>
        <w:jc w:val="center"/>
        <w:rPr>
          <w:rFonts w:ascii="Times New Roman" w:hAnsi="Times New Roman" w:cs="Times New Roman"/>
          <w:b/>
          <w:bCs/>
          <w:sz w:val="24"/>
          <w:szCs w:val="24"/>
        </w:rPr>
      </w:pPr>
      <w:r w:rsidRPr="000A593B">
        <w:rPr>
          <w:rFonts w:ascii="Times New Roman" w:hAnsi="Times New Roman" w:cs="Times New Roman"/>
          <w:b/>
          <w:bCs/>
          <w:sz w:val="24"/>
          <w:szCs w:val="24"/>
        </w:rPr>
        <w:t>Ok</w:t>
      </w:r>
      <w:r>
        <w:rPr>
          <w:rFonts w:ascii="Times New Roman" w:hAnsi="Times New Roman" w:cs="Times New Roman"/>
          <w:b/>
          <w:bCs/>
          <w:sz w:val="24"/>
          <w:szCs w:val="24"/>
        </w:rPr>
        <w:t>e</w:t>
      </w:r>
      <w:r w:rsidRPr="000A593B">
        <w:rPr>
          <w:rFonts w:ascii="Times New Roman" w:hAnsi="Times New Roman" w:cs="Times New Roman"/>
          <w:b/>
          <w:bCs/>
          <w:sz w:val="24"/>
          <w:szCs w:val="24"/>
        </w:rPr>
        <w:t xml:space="preserve"> Kadarullah</w:t>
      </w:r>
      <w:r w:rsidRPr="000A593B">
        <w:rPr>
          <w:rFonts w:ascii="Times New Roman" w:hAnsi="Times New Roman" w:cs="Times New Roman"/>
          <w:b/>
          <w:bCs/>
          <w:sz w:val="24"/>
          <w:szCs w:val="24"/>
          <w:vertAlign w:val="superscript"/>
        </w:rPr>
        <w:t>1,2</w:t>
      </w:r>
      <w:r w:rsidRPr="000A593B">
        <w:rPr>
          <w:rFonts w:ascii="Times New Roman" w:hAnsi="Times New Roman" w:cs="Times New Roman"/>
          <w:b/>
          <w:bCs/>
          <w:sz w:val="24"/>
          <w:szCs w:val="24"/>
        </w:rPr>
        <w:t xml:space="preserve">, M. </w:t>
      </w:r>
      <w:proofErr w:type="spellStart"/>
      <w:r w:rsidRPr="000A593B">
        <w:rPr>
          <w:rFonts w:ascii="Times New Roman" w:hAnsi="Times New Roman" w:cs="Times New Roman"/>
          <w:b/>
          <w:bCs/>
          <w:sz w:val="24"/>
          <w:szCs w:val="24"/>
        </w:rPr>
        <w:t>Nurrizki</w:t>
      </w:r>
      <w:proofErr w:type="spellEnd"/>
      <w:r w:rsidRPr="000A593B">
        <w:rPr>
          <w:rFonts w:ascii="Times New Roman" w:hAnsi="Times New Roman" w:cs="Times New Roman"/>
          <w:b/>
          <w:bCs/>
          <w:sz w:val="24"/>
          <w:szCs w:val="24"/>
        </w:rPr>
        <w:t xml:space="preserve"> Haitamy</w:t>
      </w:r>
      <w:r w:rsidRPr="000A593B">
        <w:rPr>
          <w:rFonts w:ascii="Times New Roman" w:hAnsi="Times New Roman" w:cs="Times New Roman"/>
          <w:b/>
          <w:bCs/>
          <w:sz w:val="24"/>
          <w:szCs w:val="24"/>
          <w:vertAlign w:val="superscript"/>
        </w:rPr>
        <w:t>1,3</w:t>
      </w:r>
      <w:r w:rsidRPr="000A593B">
        <w:rPr>
          <w:rFonts w:ascii="Times New Roman" w:hAnsi="Times New Roman" w:cs="Times New Roman"/>
          <w:b/>
          <w:bCs/>
          <w:sz w:val="24"/>
          <w:szCs w:val="24"/>
        </w:rPr>
        <w:t>, Andi M. Maulana</w:t>
      </w:r>
      <w:r w:rsidRPr="000A593B">
        <w:rPr>
          <w:rFonts w:ascii="Times New Roman" w:hAnsi="Times New Roman" w:cs="Times New Roman"/>
          <w:b/>
          <w:bCs/>
          <w:sz w:val="24"/>
          <w:szCs w:val="24"/>
          <w:vertAlign w:val="superscript"/>
        </w:rPr>
        <w:t>4</w:t>
      </w:r>
    </w:p>
    <w:p w14:paraId="1B92EC2B" w14:textId="2CABA9EF" w:rsidR="000A593B" w:rsidRPr="000A593B" w:rsidRDefault="000A593B" w:rsidP="000A593B">
      <w:pPr>
        <w:spacing w:after="0" w:line="240" w:lineRule="auto"/>
        <w:rPr>
          <w:rFonts w:ascii="Times New Roman" w:hAnsi="Times New Roman" w:cs="Times New Roman"/>
          <w:sz w:val="20"/>
          <w:szCs w:val="20"/>
        </w:rPr>
      </w:pPr>
      <w:r w:rsidRPr="0043142D">
        <w:rPr>
          <w:rFonts w:ascii="Times New Roman" w:hAnsi="Times New Roman" w:cs="Times New Roman"/>
          <w:sz w:val="20"/>
          <w:szCs w:val="20"/>
          <w:vertAlign w:val="superscript"/>
        </w:rPr>
        <w:t>1</w:t>
      </w:r>
      <w:r w:rsidR="0043142D">
        <w:rPr>
          <w:rFonts w:ascii="Times New Roman" w:hAnsi="Times New Roman" w:cs="Times New Roman"/>
          <w:sz w:val="20"/>
          <w:szCs w:val="20"/>
          <w:vertAlign w:val="superscript"/>
        </w:rPr>
        <w:t xml:space="preserve"> </w:t>
      </w:r>
      <w:r>
        <w:rPr>
          <w:rFonts w:ascii="Times New Roman" w:hAnsi="Times New Roman" w:cs="Times New Roman"/>
          <w:sz w:val="20"/>
          <w:szCs w:val="20"/>
        </w:rPr>
        <w:t>ORL</w:t>
      </w:r>
      <w:r w:rsidRPr="000A593B">
        <w:rPr>
          <w:rFonts w:ascii="Times New Roman" w:hAnsi="Times New Roman" w:cs="Times New Roman"/>
          <w:sz w:val="20"/>
          <w:szCs w:val="20"/>
        </w:rPr>
        <w:t>-</w:t>
      </w:r>
      <w:r>
        <w:rPr>
          <w:rFonts w:ascii="Times New Roman" w:hAnsi="Times New Roman" w:cs="Times New Roman"/>
          <w:sz w:val="20"/>
          <w:szCs w:val="20"/>
        </w:rPr>
        <w:t>HNS</w:t>
      </w:r>
      <w:r w:rsidRPr="000A593B">
        <w:rPr>
          <w:rFonts w:ascii="Times New Roman" w:hAnsi="Times New Roman" w:cs="Times New Roman"/>
          <w:sz w:val="20"/>
          <w:szCs w:val="20"/>
        </w:rPr>
        <w:t xml:space="preserve"> </w:t>
      </w:r>
      <w:proofErr w:type="spellStart"/>
      <w:r>
        <w:rPr>
          <w:rFonts w:ascii="Times New Roman" w:hAnsi="Times New Roman" w:cs="Times New Roman"/>
          <w:sz w:val="20"/>
          <w:szCs w:val="20"/>
        </w:rPr>
        <w:t>Departement</w:t>
      </w:r>
      <w:proofErr w:type="spellEnd"/>
      <w:r>
        <w:rPr>
          <w:rFonts w:ascii="Times New Roman" w:hAnsi="Times New Roman" w:cs="Times New Roman"/>
          <w:sz w:val="20"/>
          <w:szCs w:val="20"/>
        </w:rPr>
        <w:t xml:space="preserve">, </w:t>
      </w:r>
      <w:r w:rsidRPr="000A593B">
        <w:rPr>
          <w:rFonts w:ascii="Times New Roman" w:hAnsi="Times New Roman" w:cs="Times New Roman"/>
          <w:sz w:val="20"/>
          <w:szCs w:val="20"/>
        </w:rPr>
        <w:t xml:space="preserve">Faculty of Medicine, University of Muhammadiyah </w:t>
      </w:r>
      <w:proofErr w:type="spellStart"/>
      <w:r w:rsidRPr="000A593B">
        <w:rPr>
          <w:rFonts w:ascii="Times New Roman" w:hAnsi="Times New Roman" w:cs="Times New Roman"/>
          <w:sz w:val="20"/>
          <w:szCs w:val="20"/>
        </w:rPr>
        <w:t>Purwokerto</w:t>
      </w:r>
      <w:proofErr w:type="spellEnd"/>
    </w:p>
    <w:p w14:paraId="6E7AE464" w14:textId="77777777" w:rsidR="000A593B" w:rsidRPr="000A593B" w:rsidRDefault="000A593B" w:rsidP="000A593B">
      <w:pPr>
        <w:spacing w:after="0" w:line="240" w:lineRule="auto"/>
        <w:rPr>
          <w:rFonts w:ascii="Times New Roman" w:hAnsi="Times New Roman" w:cs="Times New Roman"/>
          <w:sz w:val="20"/>
          <w:szCs w:val="20"/>
        </w:rPr>
      </w:pPr>
      <w:r w:rsidRPr="0043142D">
        <w:rPr>
          <w:rFonts w:ascii="Times New Roman" w:hAnsi="Times New Roman" w:cs="Times New Roman"/>
          <w:sz w:val="20"/>
          <w:szCs w:val="20"/>
          <w:vertAlign w:val="superscript"/>
        </w:rPr>
        <w:t>2</w:t>
      </w:r>
      <w:r w:rsidRPr="000A593B">
        <w:rPr>
          <w:rFonts w:ascii="Times New Roman" w:hAnsi="Times New Roman" w:cs="Times New Roman"/>
          <w:sz w:val="20"/>
          <w:szCs w:val="20"/>
        </w:rPr>
        <w:t xml:space="preserve"> PKU Muhammadiyah Hospital </w:t>
      </w:r>
      <w:proofErr w:type="spellStart"/>
      <w:r w:rsidRPr="000A593B">
        <w:rPr>
          <w:rFonts w:ascii="Times New Roman" w:hAnsi="Times New Roman" w:cs="Times New Roman"/>
          <w:sz w:val="20"/>
          <w:szCs w:val="20"/>
        </w:rPr>
        <w:t>Gombong</w:t>
      </w:r>
      <w:proofErr w:type="spellEnd"/>
    </w:p>
    <w:p w14:paraId="7B98C80F" w14:textId="77777777" w:rsidR="000A593B" w:rsidRPr="000A593B" w:rsidRDefault="000A593B" w:rsidP="000A593B">
      <w:pPr>
        <w:spacing w:after="0" w:line="240" w:lineRule="auto"/>
        <w:rPr>
          <w:rFonts w:ascii="Times New Roman" w:hAnsi="Times New Roman" w:cs="Times New Roman"/>
          <w:sz w:val="20"/>
          <w:szCs w:val="20"/>
        </w:rPr>
      </w:pPr>
      <w:r w:rsidRPr="0043142D">
        <w:rPr>
          <w:rFonts w:ascii="Times New Roman" w:hAnsi="Times New Roman" w:cs="Times New Roman"/>
          <w:sz w:val="20"/>
          <w:szCs w:val="20"/>
          <w:vertAlign w:val="superscript"/>
        </w:rPr>
        <w:t>3</w:t>
      </w:r>
      <w:r w:rsidRPr="000A593B">
        <w:rPr>
          <w:rFonts w:ascii="Times New Roman" w:hAnsi="Times New Roman" w:cs="Times New Roman"/>
          <w:sz w:val="20"/>
          <w:szCs w:val="20"/>
        </w:rPr>
        <w:t xml:space="preserve"> RS Islam </w:t>
      </w:r>
      <w:proofErr w:type="spellStart"/>
      <w:r w:rsidRPr="000A593B">
        <w:rPr>
          <w:rFonts w:ascii="Times New Roman" w:hAnsi="Times New Roman" w:cs="Times New Roman"/>
          <w:sz w:val="20"/>
          <w:szCs w:val="20"/>
        </w:rPr>
        <w:t>Purwokerto</w:t>
      </w:r>
      <w:proofErr w:type="spellEnd"/>
    </w:p>
    <w:p w14:paraId="2F3FF1D8" w14:textId="4E5E6E83" w:rsidR="000A593B" w:rsidRPr="000A593B" w:rsidRDefault="000A593B" w:rsidP="000A593B">
      <w:pPr>
        <w:spacing w:after="0" w:line="240" w:lineRule="auto"/>
        <w:rPr>
          <w:rFonts w:ascii="Times New Roman" w:hAnsi="Times New Roman" w:cs="Times New Roman"/>
          <w:b/>
          <w:bCs/>
          <w:sz w:val="24"/>
          <w:szCs w:val="24"/>
        </w:rPr>
      </w:pPr>
      <w:r w:rsidRPr="0043142D">
        <w:rPr>
          <w:rFonts w:ascii="Times New Roman" w:hAnsi="Times New Roman" w:cs="Times New Roman"/>
          <w:sz w:val="20"/>
          <w:szCs w:val="20"/>
          <w:vertAlign w:val="superscript"/>
        </w:rPr>
        <w:t>4</w:t>
      </w:r>
      <w:r w:rsidRPr="000A593B">
        <w:rPr>
          <w:rFonts w:ascii="Times New Roman" w:hAnsi="Times New Roman" w:cs="Times New Roman"/>
          <w:sz w:val="20"/>
          <w:szCs w:val="20"/>
        </w:rPr>
        <w:t xml:space="preserve"> </w:t>
      </w:r>
      <w:r>
        <w:rPr>
          <w:rFonts w:ascii="Times New Roman" w:hAnsi="Times New Roman" w:cs="Times New Roman"/>
          <w:sz w:val="20"/>
          <w:szCs w:val="20"/>
        </w:rPr>
        <w:t>A</w:t>
      </w:r>
      <w:r w:rsidRPr="000A593B">
        <w:rPr>
          <w:rFonts w:ascii="Times New Roman" w:hAnsi="Times New Roman" w:cs="Times New Roman"/>
          <w:sz w:val="20"/>
          <w:szCs w:val="20"/>
        </w:rPr>
        <w:t>natomy</w:t>
      </w:r>
      <w:r>
        <w:rPr>
          <w:rFonts w:ascii="Times New Roman" w:hAnsi="Times New Roman" w:cs="Times New Roman"/>
          <w:sz w:val="20"/>
          <w:szCs w:val="20"/>
        </w:rPr>
        <w:t xml:space="preserve"> </w:t>
      </w:r>
      <w:proofErr w:type="spellStart"/>
      <w:r>
        <w:rPr>
          <w:rFonts w:ascii="Times New Roman" w:hAnsi="Times New Roman" w:cs="Times New Roman"/>
          <w:sz w:val="20"/>
          <w:szCs w:val="20"/>
        </w:rPr>
        <w:t>Departement</w:t>
      </w:r>
      <w:proofErr w:type="spellEnd"/>
      <w:r>
        <w:rPr>
          <w:rFonts w:ascii="Times New Roman" w:hAnsi="Times New Roman" w:cs="Times New Roman"/>
          <w:sz w:val="20"/>
          <w:szCs w:val="20"/>
        </w:rPr>
        <w:t>,</w:t>
      </w:r>
      <w:r w:rsidRPr="000A593B">
        <w:rPr>
          <w:rFonts w:ascii="Times New Roman" w:hAnsi="Times New Roman" w:cs="Times New Roman"/>
          <w:sz w:val="20"/>
          <w:szCs w:val="20"/>
        </w:rPr>
        <w:t xml:space="preserve"> Faculty of Medicine, University of Muhammadiyah </w:t>
      </w:r>
      <w:proofErr w:type="spellStart"/>
      <w:r w:rsidRPr="000A593B">
        <w:rPr>
          <w:rFonts w:ascii="Times New Roman" w:hAnsi="Times New Roman" w:cs="Times New Roman"/>
          <w:sz w:val="20"/>
          <w:szCs w:val="20"/>
        </w:rPr>
        <w:t>Purwokerto</w:t>
      </w:r>
      <w:proofErr w:type="spellEnd"/>
    </w:p>
    <w:p w14:paraId="432DB1D4" w14:textId="77777777" w:rsidR="000A593B" w:rsidRPr="000A593B" w:rsidRDefault="000A593B" w:rsidP="000A593B">
      <w:pPr>
        <w:spacing w:line="360" w:lineRule="auto"/>
        <w:rPr>
          <w:rFonts w:ascii="Times New Roman" w:hAnsi="Times New Roman" w:cs="Times New Roman"/>
          <w:b/>
          <w:bCs/>
          <w:sz w:val="24"/>
          <w:szCs w:val="24"/>
        </w:rPr>
      </w:pPr>
    </w:p>
    <w:p w14:paraId="4B0BDAFF" w14:textId="77777777" w:rsidR="000A593B" w:rsidRPr="000A593B" w:rsidRDefault="000A593B" w:rsidP="000A593B">
      <w:pPr>
        <w:spacing w:line="360" w:lineRule="auto"/>
        <w:jc w:val="both"/>
        <w:rPr>
          <w:rFonts w:ascii="Times New Roman" w:hAnsi="Times New Roman" w:cs="Times New Roman"/>
          <w:b/>
          <w:bCs/>
          <w:sz w:val="24"/>
          <w:szCs w:val="24"/>
        </w:rPr>
      </w:pPr>
      <w:r w:rsidRPr="000A593B">
        <w:rPr>
          <w:rFonts w:ascii="Times New Roman" w:hAnsi="Times New Roman" w:cs="Times New Roman"/>
          <w:b/>
          <w:bCs/>
          <w:sz w:val="24"/>
          <w:szCs w:val="24"/>
        </w:rPr>
        <w:t>Abstract</w:t>
      </w:r>
    </w:p>
    <w:p w14:paraId="20DD3F55" w14:textId="4EC39AA3" w:rsidR="000A593B" w:rsidRPr="000A593B" w:rsidRDefault="000A593B" w:rsidP="000A593B">
      <w:pPr>
        <w:spacing w:line="360" w:lineRule="auto"/>
        <w:jc w:val="both"/>
        <w:rPr>
          <w:rFonts w:ascii="Times New Roman" w:hAnsi="Times New Roman" w:cs="Times New Roman"/>
          <w:sz w:val="24"/>
          <w:szCs w:val="24"/>
        </w:rPr>
      </w:pPr>
      <w:r w:rsidRPr="000A593B">
        <w:rPr>
          <w:rFonts w:ascii="Times New Roman" w:hAnsi="Times New Roman" w:cs="Times New Roman"/>
          <w:b/>
          <w:bCs/>
          <w:sz w:val="24"/>
          <w:szCs w:val="24"/>
        </w:rPr>
        <w:t xml:space="preserve">Background: </w:t>
      </w:r>
      <w:r w:rsidRPr="000A593B">
        <w:rPr>
          <w:rFonts w:ascii="Times New Roman" w:hAnsi="Times New Roman" w:cs="Times New Roman"/>
          <w:sz w:val="24"/>
          <w:szCs w:val="24"/>
        </w:rPr>
        <w:t xml:space="preserve">Nasopharyngeal cancer (NPC) is still a global health problem as well as in Indonesia. Patients come with an advanced stage which has a high impact on patient morbidity and mortality. The patient's prognosis is highly dependent on the supporting modalities to determine the stage. Supporting examinations with guiding standards are still limited, especially for hospitals in non-educational </w:t>
      </w:r>
      <w:proofErr w:type="spellStart"/>
      <w:r w:rsidRPr="000A593B">
        <w:rPr>
          <w:rFonts w:ascii="Times New Roman" w:hAnsi="Times New Roman" w:cs="Times New Roman"/>
          <w:sz w:val="24"/>
          <w:szCs w:val="24"/>
        </w:rPr>
        <w:t>centers</w:t>
      </w:r>
      <w:proofErr w:type="spellEnd"/>
      <w:r w:rsidRPr="000A593B">
        <w:rPr>
          <w:rFonts w:ascii="Times New Roman" w:hAnsi="Times New Roman" w:cs="Times New Roman"/>
          <w:sz w:val="24"/>
          <w:szCs w:val="24"/>
        </w:rPr>
        <w:t xml:space="preserve"> or not big cities. It is known that there is a close relationship between inflammation and a malignancy, especially NPC with risk factors for chronic viral infection.</w:t>
      </w:r>
      <w:r w:rsidRPr="000A593B">
        <w:rPr>
          <w:rFonts w:ascii="Times New Roman" w:hAnsi="Times New Roman" w:cs="Times New Roman"/>
          <w:b/>
          <w:bCs/>
          <w:sz w:val="24"/>
          <w:szCs w:val="24"/>
        </w:rPr>
        <w:t xml:space="preserve"> Objective: </w:t>
      </w:r>
      <w:r w:rsidRPr="000A593B">
        <w:rPr>
          <w:rFonts w:ascii="Times New Roman" w:hAnsi="Times New Roman" w:cs="Times New Roman"/>
          <w:sz w:val="24"/>
          <w:szCs w:val="24"/>
        </w:rPr>
        <w:t xml:space="preserve">To see the role of easy and inexpensive routine blood tests to help assess the prognosis of NPC patients. </w:t>
      </w:r>
      <w:r w:rsidRPr="000A593B">
        <w:rPr>
          <w:rFonts w:ascii="Times New Roman" w:hAnsi="Times New Roman" w:cs="Times New Roman"/>
          <w:b/>
          <w:bCs/>
          <w:sz w:val="24"/>
          <w:szCs w:val="24"/>
        </w:rPr>
        <w:t>Methods:</w:t>
      </w:r>
      <w:r w:rsidRPr="000A593B">
        <w:rPr>
          <w:rFonts w:ascii="Times New Roman" w:hAnsi="Times New Roman" w:cs="Times New Roman"/>
          <w:sz w:val="24"/>
          <w:szCs w:val="24"/>
        </w:rPr>
        <w:t xml:space="preserve"> Searching for secondary medical record data including histopathological data, CT Scan or physical examination or </w:t>
      </w:r>
      <w:proofErr w:type="spellStart"/>
      <w:r w:rsidRPr="000A593B">
        <w:rPr>
          <w:rFonts w:ascii="Times New Roman" w:hAnsi="Times New Roman" w:cs="Times New Roman"/>
          <w:sz w:val="24"/>
          <w:szCs w:val="24"/>
        </w:rPr>
        <w:t>nasoendoscopy</w:t>
      </w:r>
      <w:proofErr w:type="spellEnd"/>
      <w:r w:rsidRPr="000A593B">
        <w:rPr>
          <w:rFonts w:ascii="Times New Roman" w:hAnsi="Times New Roman" w:cs="Times New Roman"/>
          <w:sz w:val="24"/>
          <w:szCs w:val="24"/>
        </w:rPr>
        <w:t xml:space="preserve"> as well as routine blood laboratory data for NPC patients at PKU Muhammadiyah </w:t>
      </w:r>
      <w:proofErr w:type="spellStart"/>
      <w:r w:rsidRPr="000A593B">
        <w:rPr>
          <w:rFonts w:ascii="Times New Roman" w:hAnsi="Times New Roman" w:cs="Times New Roman"/>
          <w:sz w:val="24"/>
          <w:szCs w:val="24"/>
        </w:rPr>
        <w:t>Gombong</w:t>
      </w:r>
      <w:proofErr w:type="spellEnd"/>
      <w:r w:rsidRPr="000A593B">
        <w:rPr>
          <w:rFonts w:ascii="Times New Roman" w:hAnsi="Times New Roman" w:cs="Times New Roman"/>
          <w:sz w:val="24"/>
          <w:szCs w:val="24"/>
        </w:rPr>
        <w:t xml:space="preserve"> Hospital.</w:t>
      </w:r>
      <w:r w:rsidRPr="000A593B">
        <w:rPr>
          <w:rFonts w:ascii="Times New Roman" w:hAnsi="Times New Roman" w:cs="Times New Roman"/>
          <w:b/>
          <w:bCs/>
          <w:sz w:val="24"/>
          <w:szCs w:val="24"/>
        </w:rPr>
        <w:t xml:space="preserve"> Results: </w:t>
      </w:r>
      <w:r w:rsidRPr="000A593B">
        <w:rPr>
          <w:rFonts w:ascii="Times New Roman" w:hAnsi="Times New Roman" w:cs="Times New Roman"/>
          <w:sz w:val="24"/>
          <w:szCs w:val="24"/>
        </w:rPr>
        <w:t>NPC patients were found with 100% non-keratinizing carcinoma-undifferentiated type, gender was m</w:t>
      </w:r>
      <w:r w:rsidR="00C87BDA">
        <w:rPr>
          <w:rFonts w:ascii="Times New Roman" w:hAnsi="Times New Roman" w:cs="Times New Roman"/>
          <w:sz w:val="24"/>
          <w:szCs w:val="24"/>
        </w:rPr>
        <w:t>ale</w:t>
      </w:r>
      <w:r w:rsidRPr="000A593B">
        <w:rPr>
          <w:rFonts w:ascii="Times New Roman" w:hAnsi="Times New Roman" w:cs="Times New Roman"/>
          <w:sz w:val="24"/>
          <w:szCs w:val="24"/>
        </w:rPr>
        <w:t xml:space="preserve"> by 63% and in the most age range 46-65 years with advanced clinical stages reaching 66.7%. Inflammatory cell status includes a high neutrophil-lymphocyte cell ratio (NLR) of 70.4% and a high platelet-lymphocyte cell ratio (PLR) of 62.8%.</w:t>
      </w:r>
      <w:r w:rsidRPr="000A593B">
        <w:rPr>
          <w:rFonts w:ascii="Times New Roman" w:hAnsi="Times New Roman" w:cs="Times New Roman"/>
          <w:b/>
          <w:bCs/>
          <w:sz w:val="24"/>
          <w:szCs w:val="24"/>
        </w:rPr>
        <w:t xml:space="preserve"> Conclusion: </w:t>
      </w:r>
      <w:r w:rsidRPr="000A593B">
        <w:rPr>
          <w:rFonts w:ascii="Times New Roman" w:hAnsi="Times New Roman" w:cs="Times New Roman"/>
          <w:sz w:val="24"/>
          <w:szCs w:val="24"/>
        </w:rPr>
        <w:t xml:space="preserve">The most inflammatory cell status in NPC patients at PKU Muhammadiyah </w:t>
      </w:r>
      <w:proofErr w:type="spellStart"/>
      <w:r w:rsidRPr="000A593B">
        <w:rPr>
          <w:rFonts w:ascii="Times New Roman" w:hAnsi="Times New Roman" w:cs="Times New Roman"/>
          <w:sz w:val="24"/>
          <w:szCs w:val="24"/>
        </w:rPr>
        <w:t>Gombong</w:t>
      </w:r>
      <w:proofErr w:type="spellEnd"/>
      <w:r w:rsidRPr="000A593B">
        <w:rPr>
          <w:rFonts w:ascii="Times New Roman" w:hAnsi="Times New Roman" w:cs="Times New Roman"/>
          <w:sz w:val="24"/>
          <w:szCs w:val="24"/>
        </w:rPr>
        <w:t xml:space="preserve"> Hospital are high NLR and high PLR which are in line with the findings of high T stage and positive N (advanced clinical cancer stage).</w:t>
      </w:r>
    </w:p>
    <w:p w14:paraId="784F8C18" w14:textId="62D3596C" w:rsidR="000A593B" w:rsidRDefault="000A593B" w:rsidP="000A593B">
      <w:pPr>
        <w:spacing w:line="360" w:lineRule="auto"/>
        <w:jc w:val="both"/>
        <w:rPr>
          <w:rFonts w:ascii="Times New Roman" w:hAnsi="Times New Roman" w:cs="Times New Roman"/>
          <w:b/>
          <w:bCs/>
          <w:sz w:val="24"/>
          <w:szCs w:val="24"/>
        </w:rPr>
      </w:pPr>
      <w:r w:rsidRPr="000A593B">
        <w:rPr>
          <w:rFonts w:ascii="Times New Roman" w:hAnsi="Times New Roman" w:cs="Times New Roman"/>
          <w:b/>
          <w:bCs/>
          <w:sz w:val="24"/>
          <w:szCs w:val="24"/>
        </w:rPr>
        <w:t>Keywords: Nasopharyngeal Carcinoma, PLR, NLR, Stage</w:t>
      </w:r>
    </w:p>
    <w:p w14:paraId="1C21A1BB" w14:textId="77777777" w:rsidR="000A593B" w:rsidRDefault="000A593B" w:rsidP="00E20E49">
      <w:pPr>
        <w:spacing w:line="360" w:lineRule="auto"/>
        <w:rPr>
          <w:rFonts w:ascii="Times New Roman" w:hAnsi="Times New Roman" w:cs="Times New Roman"/>
          <w:b/>
          <w:bCs/>
          <w:sz w:val="24"/>
          <w:szCs w:val="24"/>
        </w:rPr>
      </w:pPr>
    </w:p>
    <w:p w14:paraId="0FCCF2DC" w14:textId="77777777" w:rsidR="000A593B" w:rsidRDefault="000A593B" w:rsidP="00E20E49">
      <w:pPr>
        <w:spacing w:line="360" w:lineRule="auto"/>
        <w:rPr>
          <w:rFonts w:ascii="Times New Roman" w:hAnsi="Times New Roman" w:cs="Times New Roman"/>
          <w:b/>
          <w:bCs/>
          <w:sz w:val="24"/>
          <w:szCs w:val="24"/>
        </w:rPr>
      </w:pPr>
    </w:p>
    <w:p w14:paraId="0821CACA" w14:textId="77777777" w:rsidR="000A593B" w:rsidRDefault="000A593B" w:rsidP="00E20E49">
      <w:pPr>
        <w:spacing w:line="360" w:lineRule="auto"/>
        <w:rPr>
          <w:rFonts w:ascii="Times New Roman" w:hAnsi="Times New Roman" w:cs="Times New Roman"/>
          <w:b/>
          <w:bCs/>
          <w:sz w:val="24"/>
          <w:szCs w:val="24"/>
        </w:rPr>
      </w:pPr>
    </w:p>
    <w:p w14:paraId="73EF75E3" w14:textId="448D9F37" w:rsidR="00AC3D07" w:rsidRPr="00E20E49" w:rsidRDefault="00AC3D07" w:rsidP="00E20E49">
      <w:pPr>
        <w:spacing w:line="360" w:lineRule="auto"/>
        <w:rPr>
          <w:rFonts w:ascii="Times New Roman" w:hAnsi="Times New Roman" w:cs="Times New Roman"/>
          <w:b/>
          <w:bCs/>
          <w:sz w:val="24"/>
          <w:szCs w:val="24"/>
        </w:rPr>
      </w:pPr>
      <w:proofErr w:type="spellStart"/>
      <w:r w:rsidRPr="00E20E49">
        <w:rPr>
          <w:rFonts w:ascii="Times New Roman" w:hAnsi="Times New Roman" w:cs="Times New Roman"/>
          <w:b/>
          <w:bCs/>
          <w:sz w:val="24"/>
          <w:szCs w:val="24"/>
        </w:rPr>
        <w:lastRenderedPageBreak/>
        <w:t>Pendahuluan</w:t>
      </w:r>
      <w:proofErr w:type="spellEnd"/>
    </w:p>
    <w:p w14:paraId="643E8725" w14:textId="5A82D5BF" w:rsidR="00AC3D07" w:rsidRPr="00E20E49" w:rsidRDefault="00AC3D07" w:rsidP="003B6F80">
      <w:pPr>
        <w:spacing w:line="360" w:lineRule="auto"/>
        <w:ind w:firstLine="720"/>
        <w:jc w:val="both"/>
        <w:rPr>
          <w:rFonts w:ascii="Times New Roman" w:hAnsi="Times New Roman" w:cs="Times New Roman"/>
          <w:sz w:val="24"/>
          <w:szCs w:val="24"/>
        </w:rPr>
      </w:pPr>
      <w:bookmarkStart w:id="0" w:name="_Hlk78896561"/>
      <w:proofErr w:type="spellStart"/>
      <w:r w:rsidRPr="00E20E49">
        <w:rPr>
          <w:rFonts w:ascii="Times New Roman" w:hAnsi="Times New Roman" w:cs="Times New Roman"/>
          <w:sz w:val="24"/>
          <w:szCs w:val="24"/>
        </w:rPr>
        <w:t>Kanker</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nasofaring</w:t>
      </w:r>
      <w:proofErr w:type="spellEnd"/>
      <w:r w:rsidRPr="00E20E49">
        <w:rPr>
          <w:rFonts w:ascii="Times New Roman" w:hAnsi="Times New Roman" w:cs="Times New Roman"/>
          <w:sz w:val="24"/>
          <w:szCs w:val="24"/>
        </w:rPr>
        <w:t xml:space="preserve"> (KNF) </w:t>
      </w:r>
      <w:proofErr w:type="spellStart"/>
      <w:r w:rsidRPr="00E20E49">
        <w:rPr>
          <w:rFonts w:ascii="Times New Roman" w:hAnsi="Times New Roman" w:cs="Times New Roman"/>
          <w:sz w:val="24"/>
          <w:szCs w:val="24"/>
        </w:rPr>
        <w:t>merupakan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keganasan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sel</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epitel</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daerah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nasofaring</w:t>
      </w:r>
      <w:proofErr w:type="spellEnd"/>
      <w:r w:rsidRPr="00E20E49">
        <w:rPr>
          <w:rFonts w:ascii="Times New Roman" w:hAnsi="Times New Roman" w:cs="Times New Roman"/>
          <w:sz w:val="24"/>
          <w:szCs w:val="24"/>
        </w:rPr>
        <w:t xml:space="preserve"> yang </w:t>
      </w:r>
      <w:proofErr w:type="spellStart"/>
      <w:r w:rsidRPr="00E20E49">
        <w:rPr>
          <w:rFonts w:ascii="Times New Roman" w:hAnsi="Times New Roman" w:cs="Times New Roman"/>
          <w:sz w:val="24"/>
          <w:szCs w:val="24"/>
        </w:rPr>
        <w:t>dipengaruhi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sejumlah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faktor</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seperti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geneti</w:t>
      </w:r>
      <w:r w:rsidR="003B6F80">
        <w:rPr>
          <w:rFonts w:ascii="Times New Roman" w:hAnsi="Times New Roman" w:cs="Times New Roman"/>
          <w:sz w:val="24"/>
          <w:szCs w:val="24"/>
        </w:rPr>
        <w:t>k</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perilaku</w:t>
      </w:r>
      <w:proofErr w:type="spellEnd"/>
      <w:r w:rsidRPr="00E20E49">
        <w:rPr>
          <w:rFonts w:ascii="Times New Roman" w:hAnsi="Times New Roman" w:cs="Times New Roman"/>
          <w:sz w:val="24"/>
          <w:szCs w:val="24"/>
        </w:rPr>
        <w:t xml:space="preserve"> dan </w:t>
      </w:r>
      <w:proofErr w:type="spellStart"/>
      <w:r w:rsidRPr="00E20E49">
        <w:rPr>
          <w:rFonts w:ascii="Times New Roman" w:hAnsi="Times New Roman" w:cs="Times New Roman"/>
          <w:sz w:val="24"/>
          <w:szCs w:val="24"/>
        </w:rPr>
        <w:t>lingkungan</w:t>
      </w:r>
      <w:proofErr w:type="spellEnd"/>
      <w:r w:rsidRPr="00E20E49">
        <w:rPr>
          <w:rFonts w:ascii="Times New Roman" w:hAnsi="Times New Roman" w:cs="Times New Roman"/>
          <w:sz w:val="24"/>
          <w:szCs w:val="24"/>
        </w:rPr>
        <w:t xml:space="preserve">. </w:t>
      </w:r>
      <w:r w:rsidRPr="00E20E49">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{"citationItems":[{"id":"ITEM-1","itemData":{"ISBN":"9780128144039","abstract":"By the early 1990s the need for reengineering legacy systems was already acute, but recently the demand has increased significantly with the shift toward web-based user interfaces. The demand by all business sectors to adapt their information systems to the Web has created a tremendous need for methods, tools, and infrastructures to evolve and exploit existing applications efficiently and cost-effectively. Reverse engineering has been heralded as one of the most promising technologies to combat this.legacy systems problem. This paper presents a roadmap for reverse engineering research for the first decade of the new millennium, building on the program comprehension theories of the 1980s and the reverse engineering technology of the 1990s.","author":[{"dropping-particle":"","family":"Lazim","given":"Norhafiza Mat","non-dropping-particle":"","parse-names":false,"suffix":""},{"dropping-particle":"","family":"Abdullah","given":"Baharudin","non-dropping-particle":"","parse-names":false,"suffix":""}],"editor":[{"dropping-particle":"","family":"Baharudin","given":"Abdullah","non-dropping-particle":"","parse-names":false,"suffix":""},{"dropping-particle":"","family":"Anusha","given":"Balasubramanian","non-dropping-particle":"","parse-names":false,"suffix":""},{"dropping-particle":"","family":"Lazim","given":"Norhafiza Mat","non-dropping-particle":"","parse-names":false,"suffix":""}],"id":"ITEM-1","issued":{"date-parts":[["2020"]]},"number-of-pages":"11-30","title":"An Evidence-Based Approach to the Management of Nasopharyngeal Cancer","type":"book"},"uris":["http://www.mendeley.com/documents/?uuid=725ec187-e667-42a0-8a65-ed4a37c6d193"]}],"mendeley":{"formattedCitation":"(1)","plainTextFormattedCitation":"(1)","previouslyFormattedCitation":"(Lazim and Abdullah, 2020)"},"properties":{"noteIndex":0},"schema":"https://github.com/citation-style-language/schema/raw/master/csl-citation.json"}</w:instrText>
      </w:r>
      <w:r w:rsidRPr="00E20E49">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(1)</w:t>
      </w:r>
      <w:r w:rsidRPr="00E20E49">
        <w:rPr>
          <w:rFonts w:ascii="Times New Roman" w:hAnsi="Times New Roman" w:cs="Times New Roman"/>
          <w:sz w:val="24"/>
          <w:szCs w:val="24"/>
        </w:rPr>
        <w:fldChar w:fldCharType="end"/>
      </w:r>
      <w:r w:rsidR="003B6F80">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Kanker</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ini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masih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menjadi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masalah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kesehatan</w:t>
      </w:r>
      <w:proofErr w:type="spellEnd"/>
      <w:r w:rsidRPr="00E20E49">
        <w:rPr>
          <w:rFonts w:ascii="Times New Roman" w:hAnsi="Times New Roman" w:cs="Times New Roman"/>
          <w:sz w:val="24"/>
          <w:szCs w:val="24"/>
        </w:rPr>
        <w:t xml:space="preserve"> dunia, </w:t>
      </w:r>
      <w:proofErr w:type="spellStart"/>
      <w:r w:rsidRPr="00E20E49">
        <w:rPr>
          <w:rFonts w:ascii="Times New Roman" w:hAnsi="Times New Roman" w:cs="Times New Roman"/>
          <w:sz w:val="24"/>
          <w:szCs w:val="24"/>
        </w:rPr>
        <w:t>dimana</w:t>
      </w:r>
      <w:proofErr w:type="spellEnd"/>
      <w:r w:rsidRPr="00E20E49">
        <w:rPr>
          <w:rFonts w:ascii="Times New Roman" w:hAnsi="Times New Roman" w:cs="Times New Roman"/>
          <w:sz w:val="24"/>
          <w:szCs w:val="24"/>
        </w:rPr>
        <w:t xml:space="preserve"> pada </w:t>
      </w:r>
      <w:proofErr w:type="spellStart"/>
      <w:r w:rsidRPr="00E20E49">
        <w:rPr>
          <w:rFonts w:ascii="Times New Roman" w:hAnsi="Times New Roman" w:cs="Times New Roman"/>
          <w:sz w:val="24"/>
          <w:szCs w:val="24"/>
        </w:rPr>
        <w:t>tahun</w:t>
      </w:r>
      <w:proofErr w:type="spellEnd"/>
      <w:r w:rsidRPr="00E20E49">
        <w:rPr>
          <w:rFonts w:ascii="Times New Roman" w:hAnsi="Times New Roman" w:cs="Times New Roman"/>
          <w:sz w:val="24"/>
          <w:szCs w:val="24"/>
        </w:rPr>
        <w:t xml:space="preserve"> 2018 </w:t>
      </w:r>
      <w:proofErr w:type="spellStart"/>
      <w:r w:rsidRPr="00E20E49">
        <w:rPr>
          <w:rFonts w:ascii="Times New Roman" w:hAnsi="Times New Roman" w:cs="Times New Roman"/>
          <w:sz w:val="24"/>
          <w:szCs w:val="24"/>
        </w:rPr>
        <w:t>diperkirakan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terdapat</w:t>
      </w:r>
      <w:proofErr w:type="spellEnd"/>
      <w:r w:rsidRPr="00E20E49">
        <w:rPr>
          <w:rFonts w:ascii="Times New Roman" w:hAnsi="Times New Roman" w:cs="Times New Roman"/>
          <w:sz w:val="24"/>
          <w:szCs w:val="24"/>
        </w:rPr>
        <w:t xml:space="preserve"> 129.079 </w:t>
      </w:r>
      <w:proofErr w:type="spellStart"/>
      <w:r w:rsidRPr="00E20E49">
        <w:rPr>
          <w:rFonts w:ascii="Times New Roman" w:hAnsi="Times New Roman" w:cs="Times New Roman"/>
          <w:sz w:val="24"/>
          <w:szCs w:val="24"/>
        </w:rPr>
        <w:t>kasus</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baru</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dengan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angka</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kematian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mencapai</w:t>
      </w:r>
      <w:proofErr w:type="spellEnd"/>
      <w:r w:rsidRPr="00E20E49">
        <w:rPr>
          <w:rFonts w:ascii="Times New Roman" w:hAnsi="Times New Roman" w:cs="Times New Roman"/>
          <w:sz w:val="24"/>
          <w:szCs w:val="24"/>
        </w:rPr>
        <w:t xml:space="preserve"> 72.987. </w:t>
      </w:r>
      <w:r w:rsidR="003B6F80">
        <w:rPr>
          <w:rFonts w:ascii="Times New Roman" w:hAnsi="Times New Roman" w:cs="Times New Roman"/>
          <w:sz w:val="24"/>
          <w:szCs w:val="24"/>
        </w:rPr>
        <w:t>I</w:t>
      </w:r>
      <w:r w:rsidRPr="00E20E49">
        <w:rPr>
          <w:rFonts w:ascii="Times New Roman" w:hAnsi="Times New Roman" w:cs="Times New Roman"/>
          <w:sz w:val="24"/>
          <w:szCs w:val="24"/>
        </w:rPr>
        <w:t xml:space="preserve">ndonesia </w:t>
      </w:r>
      <w:proofErr w:type="spellStart"/>
      <w:r w:rsidRPr="00E20E49">
        <w:rPr>
          <w:rFonts w:ascii="Times New Roman" w:hAnsi="Times New Roman" w:cs="Times New Roman"/>
          <w:sz w:val="24"/>
          <w:szCs w:val="24"/>
        </w:rPr>
        <w:t>merupakan</w:t>
      </w:r>
      <w:proofErr w:type="spellEnd"/>
      <w:r w:rsidRPr="00E20E49">
        <w:rPr>
          <w:rFonts w:ascii="Times New Roman" w:hAnsi="Times New Roman" w:cs="Times New Roman"/>
          <w:sz w:val="24"/>
          <w:szCs w:val="24"/>
        </w:rPr>
        <w:t xml:space="preserve"> negara </w:t>
      </w:r>
      <w:proofErr w:type="spellStart"/>
      <w:r w:rsidRPr="00E20E49">
        <w:rPr>
          <w:rFonts w:ascii="Times New Roman" w:hAnsi="Times New Roman" w:cs="Times New Roman"/>
          <w:sz w:val="24"/>
          <w:szCs w:val="24"/>
        </w:rPr>
        <w:t>dengan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jumlah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kasus</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terbanyak</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serta</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penyumbang</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angka</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kematian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tertinggi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akibat</w:t>
      </w:r>
      <w:proofErr w:type="spellEnd"/>
      <w:r w:rsidRPr="00E20E49">
        <w:rPr>
          <w:rFonts w:ascii="Times New Roman" w:hAnsi="Times New Roman" w:cs="Times New Roman"/>
          <w:sz w:val="24"/>
          <w:szCs w:val="24"/>
        </w:rPr>
        <w:t xml:space="preserve"> </w:t>
      </w:r>
      <w:r w:rsidR="00FD2529" w:rsidRPr="00E20E49">
        <w:rPr>
          <w:rFonts w:ascii="Times New Roman" w:hAnsi="Times New Roman" w:cs="Times New Roman"/>
          <w:sz w:val="24"/>
          <w:szCs w:val="24"/>
        </w:rPr>
        <w:t>KNF</w:t>
      </w:r>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kedua</w:t>
      </w:r>
      <w:proofErr w:type="spellEnd"/>
      <w:r w:rsidRPr="00E20E49">
        <w:rPr>
          <w:rFonts w:ascii="Times New Roman" w:hAnsi="Times New Roman" w:cs="Times New Roman"/>
          <w:sz w:val="24"/>
          <w:szCs w:val="24"/>
        </w:rPr>
        <w:t xml:space="preserve"> di dunia </w:t>
      </w:r>
      <w:proofErr w:type="spellStart"/>
      <w:r w:rsidRPr="00E20E49">
        <w:rPr>
          <w:rFonts w:ascii="Times New Roman" w:hAnsi="Times New Roman" w:cs="Times New Roman"/>
          <w:sz w:val="24"/>
          <w:szCs w:val="24"/>
        </w:rPr>
        <w:t>setelah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Cina</w:t>
      </w:r>
      <w:proofErr w:type="spellEnd"/>
      <w:r w:rsidR="00FD2529" w:rsidRPr="00E20E49">
        <w:rPr>
          <w:rFonts w:ascii="Times New Roman" w:hAnsi="Times New Roman" w:cs="Times New Roman"/>
          <w:sz w:val="24"/>
          <w:szCs w:val="24"/>
        </w:rPr>
        <w:t xml:space="preserve"> dan </w:t>
      </w:r>
      <w:r w:rsidR="003B6F80">
        <w:rPr>
          <w:rFonts w:ascii="Times New Roman" w:hAnsi="Times New Roman" w:cs="Times New Roman"/>
          <w:sz w:val="24"/>
          <w:szCs w:val="24"/>
        </w:rPr>
        <w:t xml:space="preserve">KNF </w:t>
      </w:r>
      <w:proofErr w:type="spellStart"/>
      <w:r w:rsidR="00FD2529" w:rsidRPr="00E20E49">
        <w:rPr>
          <w:rFonts w:ascii="Times New Roman" w:hAnsi="Times New Roman" w:cs="Times New Roman"/>
          <w:sz w:val="24"/>
          <w:szCs w:val="24"/>
        </w:rPr>
        <w:t>merupakan</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kanker</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terbanyak</w:t>
      </w:r>
      <w:proofErr w:type="spellEnd"/>
      <w:r w:rsidR="00FD2529" w:rsidRPr="00E20E49">
        <w:rPr>
          <w:rFonts w:ascii="Times New Roman" w:hAnsi="Times New Roman" w:cs="Times New Roman"/>
          <w:sz w:val="24"/>
          <w:szCs w:val="24"/>
        </w:rPr>
        <w:t xml:space="preserve"> di </w:t>
      </w:r>
      <w:proofErr w:type="spellStart"/>
      <w:r w:rsidR="00FD2529" w:rsidRPr="00E20E49">
        <w:rPr>
          <w:rFonts w:ascii="Times New Roman" w:hAnsi="Times New Roman" w:cs="Times New Roman"/>
          <w:sz w:val="24"/>
          <w:szCs w:val="24"/>
        </w:rPr>
        <w:t>daerah</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kepala</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leher</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dengan</w:t>
      </w:r>
      <w:proofErr w:type="spellEnd"/>
      <w:r w:rsidR="00FD2529" w:rsidRPr="00E20E49">
        <w:rPr>
          <w:rFonts w:ascii="Times New Roman" w:hAnsi="Times New Roman" w:cs="Times New Roman"/>
          <w:sz w:val="24"/>
          <w:szCs w:val="24"/>
        </w:rPr>
        <w:t xml:space="preserve"> 1000 </w:t>
      </w:r>
      <w:proofErr w:type="spellStart"/>
      <w:r w:rsidR="00FD2529" w:rsidRPr="00E20E49">
        <w:rPr>
          <w:rFonts w:ascii="Times New Roman" w:hAnsi="Times New Roman" w:cs="Times New Roman"/>
          <w:sz w:val="24"/>
          <w:szCs w:val="24"/>
        </w:rPr>
        <w:t>kasus</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baru</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setiap</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bulannya</w:t>
      </w:r>
      <w:proofErr w:type="spellEnd"/>
      <w:r w:rsidRPr="00E20E49">
        <w:rPr>
          <w:rFonts w:ascii="Times New Roman" w:hAnsi="Times New Roman" w:cs="Times New Roman"/>
          <w:sz w:val="24"/>
          <w:szCs w:val="24"/>
        </w:rPr>
        <w:t>.</w:t>
      </w:r>
      <w:r w:rsidRPr="00E20E49">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{"citationItems":[{"id":"ITEM-1","itemData":{"DOI":"10.14740/wjon980w","ISSN":"1920-4531","abstract":"BACKGROUND One of the most common cancers in head and neck is nasopharynx. Knowledge about the incidence and mortality of this disease and its distribution in terms of geographical areas is necessary for further study, better planning and prevention. Therefore, this study aimed to determine the incidence and mortality of nasopharynx cancer and its relationship with human development index (HDI) in the world in 2012. METHODS This study was an ecological study conducted based on GLOBOCAN project of World Health Organization (WHO) for the countries in world. The correlation between standardized incidence rates (SIRs) and standardized mortality rates (SMRs) of nasopharynx cancer with HDI and its components was assessed with correlation coefficient by using SPSS 15. RESULTS In 2012, 86,691 nasopharynx cancer cases occurred in the world, so that 60,896 new cases were seen in men and 25,795 new cases in women (sex ratio = 2.36). SIR of the cancer was 1.2 per 100,000 (1.7 in men and 0.7 in women per 100,000) in the world. In 2012, 50,831 nasopharynx death cases occurred in the world, so that 35,756 death cases were seen in men and 15,075 death cases in women (sex ratio = 2.37). SIR of mortality from the cancer was 0.7 per 100,000 (0.7 in women and 1 in men per 100,000) in the world. The results of correlation analysis showed a negative correlation between the SIR and HDI (r = -0.037, P = 0.629), and also the results of correlation analysis showed a negative correlation between the SMR and HDI (r = -0.237, P = 0.002). CONCLUSION Nasopharyngeal cancer is native to Southeast Asia and the highest incidence and mortality were seen in countries with moderate and low HDI. It is suggested that studies are conducted on determining the causes of the cancer incidence and mortality in the world and the differences between various regions.","author":[{"dropping-particle":"","family":"Mahdavifar","given":"Neda","non-dropping-particle":"","parse-names":false,"suffix":""},{"dropping-particle":"","family":"Towhidi","given":"Farhad","non-dropping-particle":"","parse-names":false,"suffix":""},{"dropping-particle":"","family":"Makhsosi","given":"Behnam Reza","non-dropping-particle":"","parse-names":false,"suffix":""},{"dropping-particle":"","family":"Pakzad","given":"Reza","non-dropping-particle":"","parse-names":false,"suffix":""},{"dropping-particle":"","family":"Moini","given":"Ali","non-dropping-particle":"","parse-names":false,"suffix":""},{"dropping-particle":"","family":"Ahmadi","given":"Abbas","non-dropping-particle":"","parse-names":false,"suffix":""},{"dropping-particle":"","family":"Lotfi","given":"Sarah","non-dropping-particle":"","parse-names":false,"suffix":""},{"dropping-particle":"","family":"Salehiniya","given":"Hamid","non-dropping-particle":"","parse-names":false,"suffix":""}],"container-title":"World Journal of Oncology","id":"ITEM-1","issue":"5-6","issued":{"date-parts":[["2016"]]},"page":"109-118","title":"Incidence and Mortality of Nasopharynx Cancer and Its Relationship With Human Development Index in the World in 2012","type":"article-journal","volume":"7"},"uris":["http://www.mendeley.com/documents/?uuid=7ac40a2c-4edb-4928-a315-5c1e799154e7"]},{"id":"ITEM-2","itemData":{"DOI":"10.5732/cjc.011.10328","ISSN":"1000467X","PMID":"22313595","abstract":"Among all head and neck (H&amp;N) cancers, nasopharyngeal carcinoma (NPC) represents a distinct entity regarding epidemiology, clinical presentation, biological markers, carcinogenic risk factors, and prognostic factors. NPC is endemic in certain regions of the world, especially in Southeast Asia, and has a poor prognosis. In Indonesia, the recorded mean prevalence is 6.2/100 000, with 13 000 yearly new NPC cases, but otherwise little is documented on NPC in Indonesia. Here, we report on a group of 1121 NPC patients diagnosed and treated at Dr. Cipto Mangunkusumo Hospital, Jakarta, Indonesia between 1996 and 2005. We studied NPC incidence among all H&amp;N cancer cases (n =6000) observed in that period, focusing on age and gender distribution, the ethnic background of patients, and the disease etiology. We also analyzed most prevalent signs and symptoms and staging of NPC patients at first presentation. In this study population, NPC was the most frequent H&amp;N cancer (28.4%), with a male-to- female ratio of 2.4, and was endemic in the Javanese population. Interestingly, NPC appeared to affect patients at a relatively young age (20% juvenile cases) without a bimodal age distribution. Mostly, NPC initiated in the fossa of Rosenmuller and spreaded intracranially or locally as a mass in the head. Occasionally, NPC developed at the submucosal level spreading outside the anatomic limits of the nasopharynx. At presentation, NPC associated with hearing problems, serous otitis media, tinnitus, nasal obstruction, anosmia, bleeding, difficulty in swallowing and dysphonia, and even eye symptoms with diplopia and pain. The initial diagnosis is difficult to make because early signs and symptoms of NPC are not specific to the disease. Early-age Epstein-Barr virus (EBV) infection combined with frequent exposure to environmental carcinogenic co-factors is suggested to cause NPC development. Undifferentiated NPC is the most frequent histological type and is closely associated with EBV. Expression of the EBV-encoded latent membrane protein 1(LMP1) oncogene in biopsy material was compared between NPC patients of &lt; 30 years old and those of ≥30 years old, matched for sex and tumor stage. Higher LMP1 expression in patients of &lt;30 years old was observed, which was related to more locoregional progressivity. Increased medical awareness of prevailing early stage signs and symptoms coupled to use of EBV-related diagnostic tumor markers may lead to down-staging and timely treatment to impr…","author":[{"dropping-particle":"","family":"Adham","given":"Marlinda","non-dropping-particle":"","parse-names":false,"suffix":""},{"dropping-particle":"","family":"Kurniawan","given":"Antonius N.","non-dropping-particle":"","parse-names":false,"suffix":""},{"dropping-particle":"","family":"Muhtadi","given":"Arina Ika","non-dropping-particle":"","parse-names":false,"suffix":""},{"dropping-particle":"","family":"Roezin","given":"Averdi","non-dropping-particle":"","parse-names":false,"suffix":""},{"dropping-particle":"","family":"Hermani","given":"Bambang","non-dropping-particle":"","parse-names":false,"suffix":""},{"dropping-particle":"","family":"Gondhowiardjo","given":"Soehartati","non-dropping-particle":"","parse-names":false,"suffix":""},{"dropping-particle":"","family":"Bing Tan","given":"I.","non-dropping-particle":"","parse-names":false,"suffix":""},{"dropping-particle":"","family":"Middeldorp","given":"Jaap M.","non-dropping-particle":"","parse-names":false,"suffix":""}],"container-title":"Chinese Journal of Cancer","id":"ITEM-2","issue":"4","issued":{"date-parts":[["2012"]]},"page":"185-196","title":"Nasopharyngeal carcinoma in indonesia: Epidemiology, incidence, signs, and symptoms at presentation","type":"article-journal","volume":"31"},"uris":["http://www.mendeley.com/documents/?uuid=a068f237-6685-4b30-8298-103ccb014d94"]},{"id":"ITEM-3","itemData":{"DOI":"10.3322/caac.21492","ISSN":"1542-4863","PMID":"30207593","abstract":"This article provides a status report on the global burden of cancer worldwide using the GLOBOCAN 2018 estimates of cancer incidence and mortality produced by the International Agency for Research on Cancer, with a focus on geographic variability across 20 world regions. There will be an estimated 18.1 million new cancer cases (17.0 million excluding nonmelanoma skin cancer) and 9.6 million cancer deaths (9.5 million excluding nonmelanoma skin cancer) in 2018. In both sexes combined, lung cancer is the most commonly diagnosed cancer (11.6% of the total cases) and the leading cause of cancer death (18.4% of the total cancer deaths), closely followed by female breast cancer (11.6%), prostate cancer (7.1%), and colorectal cancer (6.1%) for incidence and colorectal cancer (9.2%), stomach cancer (8.2%), and liver cancer (8.2%) for mortality. Lung cancer is the most frequent cancer and the leading cause of cancer death among males, followed by prostate and colorectal cancer (for incidence) and liver and stomach cancer (for mortality). Among females, breast cancer is the most commonly diagnosed cancer and the leading cause of cancer death, followed by colorectal and lung cancer (for incidence), and vice versa (for mortality); cervical cancer ranks fourth for both incidence and mortality. The most frequently diagnosed cancer and the leading cause of cancer death, however, substantially vary across countries and within each country depending on the degree of economic development and associated social and life style factors. It is noteworthy that high-quality cancer registry data, the basis for planning and implementing evidence-based cancer control programs, are not available in most low- and middle-income countries. The Global Initiative for Cancer Registry Development is an international partnership that supports better estimation, as well as the collection and use of local data, to prioritize and evaluate national cancer control efforts. CA: A Cancer Journal for Clinicians 2018;0:1-31. © 2018 American Cancer Society.","author":[{"dropping-particle":"","family":"Bray","given":"Freddie","non-dropping-particle":"","parse-names":false,"suffix":""},{"dropping-particle":"","family":"Ferlay","given":"Jacques","non-dropping-particle":"","parse-names":false,"suffix":""},{"dropping-particle":"","family":"Soerjomataram","given":"Isabelle","non-dropping-particle":"","parse-names":false,"suffix":""},{"dropping-particle":"","family":"Siegel","given":"Rebecca L.","non-dropping-particle":"","parse-names":false,"suffix":""},{"dropping-particle":"","family":"Torre","given":"Lindsey A.","non-dropping-particle":"","parse-names":false,"suffix":""},{"dropping-particle":"","family":"Jemal","given":"Ahmedin","non-dropping-particle":"","parse-names":false,"suffix":""}],"container-title":"CA: A Cancer Journal for Clinicians","id":"ITEM-3","issue":"6","issued":{"date-parts":[["2018"]]},"page":"394-424","title":"Global cancer statistics 2018: GLOBOCAN estimates of incidence and mortality worldwide for 36 cancers in 185 countries","type":"article-journal","volume":"68"},"uris":["http://www.mendeley.com/documents/?uuid=a8370263-29c8-4479-b3f6-103b54aeaec7"]}],"mendeley":{"formattedCitation":"(2–4)","plainTextFormattedCitation":"(2–4)","previouslyFormattedCitation":"(Adham &lt;i&gt;et al.&lt;/i&gt;, 2012; Mahdavifar &lt;i&gt;et al.&lt;/i&gt;, 2016; Bray &lt;i&gt;et al.&lt;/i&gt;, 2018)"},"properties":{"noteIndex":0},"schema":"https://github.com/citation-style-language/schema/raw/master/csl-citation.json"}</w:instrText>
      </w:r>
      <w:r w:rsidRPr="00E20E49">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(2–4)</w:t>
      </w:r>
      <w:r w:rsidRPr="00E20E49">
        <w:rPr>
          <w:rFonts w:ascii="Times New Roman" w:hAnsi="Times New Roman" w:cs="Times New Roman"/>
          <w:sz w:val="24"/>
          <w:szCs w:val="24"/>
        </w:rPr>
        <w:fldChar w:fldCharType="end"/>
      </w:r>
      <w:r w:rsidRPr="00E20E49">
        <w:rPr>
          <w:rFonts w:ascii="Times New Roman" w:hAnsi="Times New Roman" w:cs="Times New Roman"/>
          <w:sz w:val="24"/>
          <w:szCs w:val="24"/>
        </w:rPr>
        <w:t xml:space="preserve"> </w:t>
      </w:r>
    </w:p>
    <w:p w14:paraId="2DB59A6F" w14:textId="4A29D068" w:rsidR="00AC3D07" w:rsidRPr="00E20E49" w:rsidRDefault="00AC3D07" w:rsidP="00AF5473">
      <w:pPr>
        <w:spacing w:line="360" w:lineRule="auto"/>
        <w:ind w:firstLine="720"/>
        <w:jc w:val="both"/>
        <w:rPr>
          <w:rFonts w:ascii="Times New Roman" w:hAnsi="Times New Roman" w:cs="Times New Roman"/>
          <w:sz w:val="24"/>
          <w:szCs w:val="24"/>
        </w:rPr>
      </w:pPr>
      <w:proofErr w:type="spellStart"/>
      <w:r w:rsidRPr="00E20E49">
        <w:rPr>
          <w:rFonts w:ascii="Times New Roman" w:hAnsi="Times New Roman" w:cs="Times New Roman"/>
          <w:sz w:val="24"/>
          <w:szCs w:val="24"/>
        </w:rPr>
        <w:t>Pasien</w:t>
      </w:r>
      <w:proofErr w:type="spellEnd"/>
      <w:r w:rsidRPr="00E20E49">
        <w:rPr>
          <w:rFonts w:ascii="Times New Roman" w:hAnsi="Times New Roman" w:cs="Times New Roman"/>
          <w:sz w:val="24"/>
          <w:szCs w:val="24"/>
        </w:rPr>
        <w:t xml:space="preserve"> </w:t>
      </w:r>
      <w:r w:rsidR="00FD2529" w:rsidRPr="00E20E49">
        <w:rPr>
          <w:rFonts w:ascii="Times New Roman" w:hAnsi="Times New Roman" w:cs="Times New Roman"/>
          <w:sz w:val="24"/>
          <w:szCs w:val="24"/>
        </w:rPr>
        <w:t>KNF</w:t>
      </w:r>
      <w:r w:rsidRPr="00E20E49">
        <w:rPr>
          <w:rFonts w:ascii="Times New Roman" w:hAnsi="Times New Roman" w:cs="Times New Roman"/>
          <w:sz w:val="24"/>
          <w:szCs w:val="24"/>
        </w:rPr>
        <w:t xml:space="preserve"> di Indonesia </w:t>
      </w:r>
      <w:proofErr w:type="spellStart"/>
      <w:r w:rsidRPr="00E20E49">
        <w:rPr>
          <w:rFonts w:ascii="Times New Roman" w:hAnsi="Times New Roman" w:cs="Times New Roman"/>
          <w:sz w:val="24"/>
          <w:szCs w:val="24"/>
        </w:rPr>
        <w:t>umumnya</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terdiagnosis</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awal</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dengan</w:t>
      </w:r>
      <w:proofErr w:type="spellEnd"/>
      <w:r w:rsidRPr="00E20E49">
        <w:rPr>
          <w:rFonts w:ascii="Times New Roman" w:hAnsi="Times New Roman" w:cs="Times New Roman"/>
          <w:sz w:val="24"/>
          <w:szCs w:val="24"/>
        </w:rPr>
        <w:t xml:space="preserve"> stadium </w:t>
      </w:r>
      <w:proofErr w:type="spellStart"/>
      <w:r w:rsidRPr="00E20E49">
        <w:rPr>
          <w:rFonts w:ascii="Times New Roman" w:hAnsi="Times New Roman" w:cs="Times New Roman"/>
          <w:sz w:val="24"/>
          <w:szCs w:val="24"/>
        </w:rPr>
        <w:t>lanjut</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sekitar</w:t>
      </w:r>
      <w:proofErr w:type="spellEnd"/>
      <w:r w:rsidRPr="00E20E49">
        <w:rPr>
          <w:rFonts w:ascii="Times New Roman" w:hAnsi="Times New Roman" w:cs="Times New Roman"/>
          <w:sz w:val="24"/>
          <w:szCs w:val="24"/>
        </w:rPr>
        <w:t xml:space="preserve"> 73,24% </w:t>
      </w:r>
      <w:proofErr w:type="spellStart"/>
      <w:r w:rsidR="00FD2529" w:rsidRPr="00E20E49">
        <w:rPr>
          <w:rFonts w:ascii="Times New Roman" w:hAnsi="Times New Roman" w:cs="Times New Roman"/>
          <w:sz w:val="24"/>
          <w:szCs w:val="24"/>
        </w:rPr>
        <w:t>dengan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histopatologi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tersering</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adalah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jenis</w:t>
      </w:r>
      <w:proofErr w:type="spellEnd"/>
      <w:r w:rsidRPr="00E20E49">
        <w:rPr>
          <w:rFonts w:ascii="Times New Roman" w:hAnsi="Times New Roman" w:cs="Times New Roman"/>
          <w:sz w:val="24"/>
          <w:szCs w:val="24"/>
        </w:rPr>
        <w:t xml:space="preserve"> WHO type III </w:t>
      </w:r>
      <w:proofErr w:type="spellStart"/>
      <w:r w:rsidRPr="00E20E49">
        <w:rPr>
          <w:rFonts w:ascii="Times New Roman" w:hAnsi="Times New Roman" w:cs="Times New Roman"/>
          <w:sz w:val="24"/>
          <w:szCs w:val="24"/>
        </w:rPr>
        <w:t>atau</w:t>
      </w:r>
      <w:proofErr w:type="spellEnd"/>
      <w:r w:rsidRPr="00E20E49">
        <w:rPr>
          <w:rFonts w:ascii="Times New Roman" w:hAnsi="Times New Roman" w:cs="Times New Roman"/>
          <w:sz w:val="24"/>
          <w:szCs w:val="24"/>
        </w:rPr>
        <w:t xml:space="preserve"> </w:t>
      </w:r>
      <w:r w:rsidRPr="00E20E49">
        <w:rPr>
          <w:rFonts w:ascii="Times New Roman" w:hAnsi="Times New Roman" w:cs="Times New Roman"/>
          <w:i/>
          <w:iCs/>
          <w:sz w:val="24"/>
          <w:szCs w:val="24"/>
          <w:lang w:val="en-US"/>
        </w:rPr>
        <w:t>non keratinizing</w:t>
      </w:r>
      <w:r w:rsidRPr="00E20E49">
        <w:rPr>
          <w:rFonts w:ascii="Times New Roman" w:eastAsia="SimSun" w:hAnsi="Times New Roman" w:cs="Times New Roman"/>
          <w:i/>
          <w:iCs/>
          <w:sz w:val="24"/>
          <w:szCs w:val="24"/>
          <w:lang w:eastAsia="en-ID"/>
        </w:rPr>
        <w:t xml:space="preserve"> undifferentiated carcinoma</w:t>
      </w:r>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sebesar</w:t>
      </w:r>
      <w:proofErr w:type="spellEnd"/>
      <w:r w:rsidRPr="00E20E49">
        <w:rPr>
          <w:rFonts w:ascii="Times New Roman" w:hAnsi="Times New Roman" w:cs="Times New Roman"/>
          <w:sz w:val="24"/>
          <w:szCs w:val="24"/>
        </w:rPr>
        <w:t xml:space="preserve"> 85% </w:t>
      </w:r>
      <w:proofErr w:type="spellStart"/>
      <w:r w:rsidRPr="00E20E49">
        <w:rPr>
          <w:rFonts w:ascii="Times New Roman" w:hAnsi="Times New Roman" w:cs="Times New Roman"/>
          <w:sz w:val="24"/>
          <w:szCs w:val="24"/>
        </w:rPr>
        <w:t>kasus</w:t>
      </w:r>
      <w:proofErr w:type="spellEnd"/>
      <w:r w:rsidRPr="00E20E49">
        <w:rPr>
          <w:rFonts w:ascii="Times New Roman" w:hAnsi="Times New Roman" w:cs="Times New Roman"/>
          <w:sz w:val="24"/>
          <w:szCs w:val="24"/>
        </w:rPr>
        <w:t xml:space="preserve">. </w:t>
      </w:r>
      <w:r w:rsidRPr="00E20E49">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{"citationItems":[{"id":"ITEM-1","itemData":{"DOI":"10.32532/jori.v10i1.98","ISSN":"2086-9223","author":[{"dropping-particle":"","family":"Gondhowiardjo","given":"Soehartati Argadikoesoema","non-dropping-particle":"","parse-names":false,"suffix":""},{"dropping-particle":"","family":"Meidania","given":"Lidya","non-dropping-particle":"","parse-names":false,"suffix":""},{"dropping-particle":"","family":"Senoaji","given":"Fajar","non-dropping-particle":"","parse-names":false,"suffix":""},{"dropping-particle":"","family":"Sekarutami","given":"Sri Mutya","non-dropping-particle":"","parse-names":false,"suffix":""}],"container-title":"Radioterapi &amp; Onkologi Indonesia","id":"ITEM-1","issue":"1","issued":{"date-parts":[["2020"]]},"page":"8-11","title":"Nasopharyngeal Carcinoma Profile in dr. Cipto Mangunkusumo Hospital Year 2013","type":"article-journal","volume":"10"},"uris":["http://www.mendeley.com/documents/?uuid=f0bde831-04d7-45fc-8e84-d87a4e7ed83e"]}],"mendeley":{"formattedCitation":"(5)","plainTextFormattedCitation":"(5)","previouslyFormattedCitation":"(Gondhowiardjo &lt;i&gt;et al.&lt;/i&gt;, 2020)"},"properties":{"noteIndex":0},"schema":"https://github.com/citation-style-language/schema/raw/master/csl-citation.json"}</w:instrText>
      </w:r>
      <w:r w:rsidRPr="00E20E49">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(5)</w:t>
      </w:r>
      <w:r w:rsidRPr="00E20E49">
        <w:rPr>
          <w:rFonts w:ascii="Times New Roman" w:hAnsi="Times New Roman" w:cs="Times New Roman"/>
          <w:sz w:val="24"/>
          <w:szCs w:val="24"/>
        </w:rPr>
        <w:fldChar w:fldCharType="end"/>
      </w:r>
      <w:r w:rsidR="00F43881"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Pemeriksaan</w:t>
      </w:r>
      <w:proofErr w:type="spellEnd"/>
      <w:r w:rsidRPr="00E20E49">
        <w:rPr>
          <w:rFonts w:ascii="Times New Roman" w:hAnsi="Times New Roman" w:cs="Times New Roman"/>
          <w:sz w:val="24"/>
          <w:szCs w:val="24"/>
        </w:rPr>
        <w:t xml:space="preserve"> stadium dan prognosis </w:t>
      </w:r>
      <w:proofErr w:type="spellStart"/>
      <w:r w:rsidRPr="00E20E49">
        <w:rPr>
          <w:rFonts w:ascii="Times New Roman" w:hAnsi="Times New Roman" w:cs="Times New Roman"/>
          <w:sz w:val="24"/>
          <w:szCs w:val="24"/>
        </w:rPr>
        <w:t>didasarkan</w:t>
      </w:r>
      <w:proofErr w:type="spellEnd"/>
      <w:r w:rsidRPr="00E20E49">
        <w:rPr>
          <w:rFonts w:ascii="Times New Roman" w:hAnsi="Times New Roman" w:cs="Times New Roman"/>
          <w:sz w:val="24"/>
          <w:szCs w:val="24"/>
        </w:rPr>
        <w:t xml:space="preserve"> pada data CT Scan </w:t>
      </w:r>
      <w:proofErr w:type="spellStart"/>
      <w:r w:rsidRPr="00E20E49">
        <w:rPr>
          <w:rFonts w:ascii="Times New Roman" w:hAnsi="Times New Roman" w:cs="Times New Roman"/>
          <w:sz w:val="24"/>
          <w:szCs w:val="24"/>
        </w:rPr>
        <w:t>dengan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kontras</w:t>
      </w:r>
      <w:proofErr w:type="spellEnd"/>
      <w:r w:rsidRPr="00E20E49">
        <w:rPr>
          <w:rFonts w:ascii="Times New Roman" w:hAnsi="Times New Roman" w:cs="Times New Roman"/>
          <w:sz w:val="24"/>
          <w:szCs w:val="24"/>
        </w:rPr>
        <w:t xml:space="preserve">, MRI </w:t>
      </w:r>
      <w:proofErr w:type="spellStart"/>
      <w:r w:rsidRPr="00E20E49">
        <w:rPr>
          <w:rFonts w:ascii="Times New Roman" w:hAnsi="Times New Roman" w:cs="Times New Roman"/>
          <w:sz w:val="24"/>
          <w:szCs w:val="24"/>
        </w:rPr>
        <w:t>atau</w:t>
      </w:r>
      <w:proofErr w:type="spellEnd"/>
      <w:r w:rsidRPr="00E20E49">
        <w:rPr>
          <w:rFonts w:ascii="Times New Roman" w:hAnsi="Times New Roman" w:cs="Times New Roman"/>
          <w:sz w:val="24"/>
          <w:szCs w:val="24"/>
        </w:rPr>
        <w:t xml:space="preserve"> PET scan.</w:t>
      </w:r>
      <w:r w:rsidR="00F43881" w:rsidRPr="00E20E49">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{"citationItems":[{"id":"ITEM-1","itemData":{"DOI":"10.1007/978-3-030-30766-0_4","ISBN":"9783030307660","abstract":"Head and neck cancers (HNCs) are most often diagnosed at advanced stages, when treatment is both less effective and highly damaging. There is sufficient evidence that formaldehyde and occupations with risk to X-radiation, gamma-radiation exposure are associated with HNCs. There is also some evidence that known carcinogens can also play a role in HNC risk within occupations, including asbestos, strong acid mists, polycyclic aromatic hydrocarbons, textile dust, working in the rubber industry, metal working fluids, and man-made vitreous fibers. Additional studies are necessary to confirm the association of many suspicious agents, occupations, and industries with oral cavity, pharyngeal, and nasopharyngeal cancers. Nevertheless, the knowledge accumulated so far informs prevention and safety at work. Efforts to reduce the burden of head and neck cancers must involve exposure reduction in high-risk occupations.","author":[{"dropping-particle":"","family":"Network","given":"National COmprehensive Cancer","non-dropping-particle":"","parse-names":false,"suffix":""}],"container-title":"NCCN.org","id":"ITEM-1","issued":{"date-parts":[["2021"]]},"title":"NCCN Clinical Practice Guideline in Oncology Head and neck cancers Version 1.2021","type":"book"},"uris":["http://www.mendeley.com/documents/?uuid=8b0eac3b-2f17-42b8-bfbb-2cabfdb637c3"]}],"mendeley":{"formattedCitation":"(6)","plainTextFormattedCitation":"(6)","previouslyFormattedCitation":"(Network, 2021)"},"properties":{"noteIndex":0},"schema":"https://github.com/citation-style-language/schema/raw/master/csl-citation.json"}</w:instrText>
      </w:r>
      <w:r w:rsidR="00F43881" w:rsidRPr="00E20E49">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(6)</w:t>
      </w:r>
      <w:r w:rsidR="00F43881" w:rsidRPr="00E20E49">
        <w:rPr>
          <w:rFonts w:ascii="Times New Roman" w:hAnsi="Times New Roman" w:cs="Times New Roman"/>
          <w:sz w:val="24"/>
          <w:szCs w:val="24"/>
        </w:rPr>
        <w:fldChar w:fldCharType="end"/>
      </w:r>
      <w:r w:rsidRPr="00E20E49">
        <w:rPr>
          <w:rFonts w:ascii="Times New Roman" w:hAnsi="Times New Roman" w:cs="Times New Roman"/>
          <w:sz w:val="24"/>
          <w:szCs w:val="24"/>
        </w:rPr>
        <w:t xml:space="preserve"> </w:t>
      </w:r>
      <w:proofErr w:type="spellStart"/>
      <w:r w:rsidR="003B6F80">
        <w:rPr>
          <w:rFonts w:ascii="Times New Roman" w:hAnsi="Times New Roman" w:cs="Times New Roman"/>
          <w:sz w:val="24"/>
          <w:szCs w:val="24"/>
        </w:rPr>
        <w:t>P</w:t>
      </w:r>
      <w:r w:rsidRPr="00E20E49">
        <w:rPr>
          <w:rFonts w:ascii="Times New Roman" w:hAnsi="Times New Roman" w:cs="Times New Roman"/>
          <w:sz w:val="24"/>
          <w:szCs w:val="24"/>
        </w:rPr>
        <w:t>emeriksaan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ini</w:t>
      </w:r>
      <w:proofErr w:type="spellEnd"/>
      <w:r w:rsidRPr="00E20E49">
        <w:rPr>
          <w:rFonts w:ascii="Times New Roman" w:hAnsi="Times New Roman" w:cs="Times New Roman"/>
          <w:sz w:val="24"/>
          <w:szCs w:val="24"/>
        </w:rPr>
        <w:t xml:space="preserve"> </w:t>
      </w:r>
      <w:r w:rsidR="003B6F80">
        <w:rPr>
          <w:rFonts w:ascii="Times New Roman" w:hAnsi="Times New Roman" w:cs="Times New Roman"/>
          <w:sz w:val="24"/>
          <w:szCs w:val="24"/>
        </w:rPr>
        <w:t>di</w:t>
      </w:r>
      <w:r w:rsidR="00F43881" w:rsidRPr="00E20E49">
        <w:rPr>
          <w:rFonts w:ascii="Times New Roman" w:hAnsi="Times New Roman" w:cs="Times New Roman"/>
          <w:sz w:val="24"/>
          <w:szCs w:val="24"/>
        </w:rPr>
        <w:t xml:space="preserve"> Indonesia </w:t>
      </w:r>
      <w:proofErr w:type="spellStart"/>
      <w:r w:rsidRPr="00E20E49">
        <w:rPr>
          <w:rFonts w:ascii="Times New Roman" w:hAnsi="Times New Roman" w:cs="Times New Roman"/>
          <w:sz w:val="24"/>
          <w:szCs w:val="24"/>
        </w:rPr>
        <w:t>masih</w:t>
      </w:r>
      <w:proofErr w:type="spellEnd"/>
      <w:r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belum</w:t>
      </w:r>
      <w:proofErr w:type="spellEnd"/>
      <w:r w:rsidR="00FD2529" w:rsidRPr="00E20E49">
        <w:rPr>
          <w:rFonts w:ascii="Times New Roman" w:hAnsi="Times New Roman" w:cs="Times New Roman"/>
          <w:sz w:val="24"/>
          <w:szCs w:val="24"/>
        </w:rPr>
        <w:t xml:space="preserve"> </w:t>
      </w:r>
      <w:proofErr w:type="spellStart"/>
      <w:r w:rsidR="003B6F80">
        <w:rPr>
          <w:rFonts w:ascii="Times New Roman" w:hAnsi="Times New Roman" w:cs="Times New Roman"/>
          <w:sz w:val="24"/>
          <w:szCs w:val="24"/>
        </w:rPr>
        <w:t>merata</w:t>
      </w:r>
      <w:proofErr w:type="spellEnd"/>
      <w:r w:rsidRPr="00E20E49">
        <w:rPr>
          <w:rFonts w:ascii="Times New Roman" w:hAnsi="Times New Roman" w:cs="Times New Roman"/>
          <w:sz w:val="24"/>
          <w:szCs w:val="24"/>
        </w:rPr>
        <w:t xml:space="preserve"> </w:t>
      </w:r>
      <w:r w:rsidR="003B6F80">
        <w:rPr>
          <w:rFonts w:ascii="Times New Roman" w:hAnsi="Times New Roman" w:cs="Times New Roman"/>
          <w:sz w:val="24"/>
          <w:szCs w:val="24"/>
        </w:rPr>
        <w:t>pada</w:t>
      </w:r>
      <w:r w:rsidRPr="00E20E49">
        <w:rPr>
          <w:rFonts w:ascii="Times New Roman" w:hAnsi="Times New Roman" w:cs="Times New Roman"/>
          <w:sz w:val="24"/>
          <w:szCs w:val="24"/>
        </w:rPr>
        <w:t xml:space="preserve"> </w:t>
      </w:r>
      <w:proofErr w:type="spellStart"/>
      <w:r w:rsidR="00F43881" w:rsidRPr="00E20E49">
        <w:rPr>
          <w:rFonts w:ascii="Times New Roman" w:hAnsi="Times New Roman" w:cs="Times New Roman"/>
          <w:sz w:val="24"/>
          <w:szCs w:val="24"/>
        </w:rPr>
        <w:t>setiap</w:t>
      </w:r>
      <w:proofErr w:type="spellEnd"/>
      <w:r w:rsidR="00F43881"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rumah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sakit</w:t>
      </w:r>
      <w:proofErr w:type="spellEnd"/>
      <w:r w:rsidR="00F43881" w:rsidRPr="00E20E49">
        <w:rPr>
          <w:rFonts w:ascii="Times New Roman" w:hAnsi="Times New Roman" w:cs="Times New Roman"/>
          <w:sz w:val="24"/>
          <w:szCs w:val="24"/>
        </w:rPr>
        <w:t xml:space="preserve">, </w:t>
      </w:r>
      <w:proofErr w:type="spellStart"/>
      <w:r w:rsidR="00F43881" w:rsidRPr="00E20E49">
        <w:rPr>
          <w:rFonts w:ascii="Times New Roman" w:hAnsi="Times New Roman" w:cs="Times New Roman"/>
          <w:sz w:val="24"/>
          <w:szCs w:val="24"/>
        </w:rPr>
        <w:t>khususnya</w:t>
      </w:r>
      <w:proofErr w:type="spellEnd"/>
      <w:r w:rsidR="00F43881" w:rsidRPr="00E20E49">
        <w:rPr>
          <w:rFonts w:ascii="Times New Roman" w:hAnsi="Times New Roman" w:cs="Times New Roman"/>
          <w:sz w:val="24"/>
          <w:szCs w:val="24"/>
        </w:rPr>
        <w:t xml:space="preserve"> di </w:t>
      </w:r>
      <w:proofErr w:type="spellStart"/>
      <w:r w:rsidR="00F43881" w:rsidRPr="00E20E49">
        <w:rPr>
          <w:rFonts w:ascii="Times New Roman" w:hAnsi="Times New Roman" w:cs="Times New Roman"/>
          <w:sz w:val="24"/>
          <w:szCs w:val="24"/>
        </w:rPr>
        <w:t>Jawa</w:t>
      </w:r>
      <w:proofErr w:type="spellEnd"/>
      <w:r w:rsidR="00F43881" w:rsidRPr="00E20E49">
        <w:rPr>
          <w:rFonts w:ascii="Times New Roman" w:hAnsi="Times New Roman" w:cs="Times New Roman"/>
          <w:sz w:val="24"/>
          <w:szCs w:val="24"/>
        </w:rPr>
        <w:t xml:space="preserve"> Tengah, </w:t>
      </w:r>
      <w:proofErr w:type="spellStart"/>
      <w:r w:rsidR="00F43881" w:rsidRPr="00E20E49">
        <w:rPr>
          <w:rFonts w:ascii="Times New Roman" w:hAnsi="Times New Roman" w:cs="Times New Roman"/>
          <w:sz w:val="24"/>
          <w:szCs w:val="24"/>
        </w:rPr>
        <w:t>dikarenakan</w:t>
      </w:r>
      <w:proofErr w:type="spellEnd"/>
      <w:r w:rsidR="00F43881" w:rsidRPr="00E20E49">
        <w:rPr>
          <w:rFonts w:ascii="Times New Roman" w:hAnsi="Times New Roman" w:cs="Times New Roman"/>
          <w:sz w:val="24"/>
          <w:szCs w:val="24"/>
        </w:rPr>
        <w:t xml:space="preserve"> </w:t>
      </w:r>
      <w:proofErr w:type="spellStart"/>
      <w:r w:rsidR="003B6F80">
        <w:rPr>
          <w:rFonts w:ascii="Times New Roman" w:hAnsi="Times New Roman" w:cs="Times New Roman"/>
          <w:sz w:val="24"/>
          <w:szCs w:val="24"/>
        </w:rPr>
        <w:t>keterbatasan</w:t>
      </w:r>
      <w:proofErr w:type="spellEnd"/>
      <w:r w:rsidR="003B6F80">
        <w:rPr>
          <w:rFonts w:ascii="Times New Roman" w:hAnsi="Times New Roman" w:cs="Times New Roman"/>
          <w:sz w:val="24"/>
          <w:szCs w:val="24"/>
        </w:rPr>
        <w:t xml:space="preserve"> </w:t>
      </w:r>
      <w:proofErr w:type="spellStart"/>
      <w:r w:rsidR="00F43881" w:rsidRPr="00E20E49">
        <w:rPr>
          <w:rFonts w:ascii="Times New Roman" w:hAnsi="Times New Roman" w:cs="Times New Roman"/>
          <w:sz w:val="24"/>
          <w:szCs w:val="24"/>
        </w:rPr>
        <w:t>biaya</w:t>
      </w:r>
      <w:proofErr w:type="spellEnd"/>
      <w:r w:rsidR="00F43881" w:rsidRPr="00E20E49">
        <w:rPr>
          <w:rFonts w:ascii="Times New Roman" w:hAnsi="Times New Roman" w:cs="Times New Roman"/>
          <w:sz w:val="24"/>
          <w:szCs w:val="24"/>
        </w:rPr>
        <w:t xml:space="preserve"> </w:t>
      </w:r>
      <w:proofErr w:type="spellStart"/>
      <w:r w:rsidR="00F43881" w:rsidRPr="00E20E49">
        <w:rPr>
          <w:rFonts w:ascii="Times New Roman" w:hAnsi="Times New Roman" w:cs="Times New Roman"/>
          <w:sz w:val="24"/>
          <w:szCs w:val="24"/>
        </w:rPr>
        <w:t>serta</w:t>
      </w:r>
      <w:proofErr w:type="spellEnd"/>
      <w:r w:rsidR="00F43881" w:rsidRPr="00E20E49">
        <w:rPr>
          <w:rFonts w:ascii="Times New Roman" w:hAnsi="Times New Roman" w:cs="Times New Roman"/>
          <w:sz w:val="24"/>
          <w:szCs w:val="24"/>
        </w:rPr>
        <w:t xml:space="preserve"> </w:t>
      </w:r>
      <w:proofErr w:type="spellStart"/>
      <w:r w:rsidR="00F43881" w:rsidRPr="00E20E49">
        <w:rPr>
          <w:rFonts w:ascii="Times New Roman" w:hAnsi="Times New Roman" w:cs="Times New Roman"/>
          <w:sz w:val="24"/>
          <w:szCs w:val="24"/>
        </w:rPr>
        <w:t>sumber</w:t>
      </w:r>
      <w:proofErr w:type="spellEnd"/>
      <w:r w:rsidR="00F43881" w:rsidRPr="00E20E49">
        <w:rPr>
          <w:rFonts w:ascii="Times New Roman" w:hAnsi="Times New Roman" w:cs="Times New Roman"/>
          <w:sz w:val="24"/>
          <w:szCs w:val="24"/>
        </w:rPr>
        <w:t xml:space="preserve"> </w:t>
      </w:r>
      <w:proofErr w:type="spellStart"/>
      <w:r w:rsidR="00F43881" w:rsidRPr="00E20E49">
        <w:rPr>
          <w:rFonts w:ascii="Times New Roman" w:hAnsi="Times New Roman" w:cs="Times New Roman"/>
          <w:sz w:val="24"/>
          <w:szCs w:val="24"/>
        </w:rPr>
        <w:t>daya</w:t>
      </w:r>
      <w:proofErr w:type="spellEnd"/>
      <w:r w:rsidR="00F43881" w:rsidRPr="00E20E49">
        <w:rPr>
          <w:rFonts w:ascii="Times New Roman" w:hAnsi="Times New Roman" w:cs="Times New Roman"/>
          <w:sz w:val="24"/>
          <w:szCs w:val="24"/>
        </w:rPr>
        <w:t xml:space="preserve"> </w:t>
      </w:r>
      <w:proofErr w:type="spellStart"/>
      <w:r w:rsidR="00F43881" w:rsidRPr="00E20E49">
        <w:rPr>
          <w:rFonts w:ascii="Times New Roman" w:hAnsi="Times New Roman" w:cs="Times New Roman"/>
          <w:sz w:val="24"/>
          <w:szCs w:val="24"/>
        </w:rPr>
        <w:t>manusia</w:t>
      </w:r>
      <w:proofErr w:type="spellEnd"/>
      <w:r w:rsidR="00F43881" w:rsidRPr="00E20E49">
        <w:rPr>
          <w:rFonts w:ascii="Times New Roman" w:hAnsi="Times New Roman" w:cs="Times New Roman"/>
          <w:sz w:val="24"/>
          <w:szCs w:val="24"/>
        </w:rPr>
        <w:t>.</w:t>
      </w:r>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Sehingga</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pemeriksaan</w:t>
      </w:r>
      <w:proofErr w:type="spellEnd"/>
      <w:r w:rsidR="001367B5" w:rsidRPr="00E20E49">
        <w:rPr>
          <w:rFonts w:ascii="Times New Roman" w:hAnsi="Times New Roman" w:cs="Times New Roman"/>
          <w:sz w:val="24"/>
          <w:szCs w:val="24"/>
        </w:rPr>
        <w:t xml:space="preserve"> yang </w:t>
      </w:r>
      <w:proofErr w:type="spellStart"/>
      <w:r w:rsidR="001367B5" w:rsidRPr="00E20E49">
        <w:rPr>
          <w:rFonts w:ascii="Times New Roman" w:hAnsi="Times New Roman" w:cs="Times New Roman"/>
          <w:sz w:val="24"/>
          <w:szCs w:val="24"/>
        </w:rPr>
        <w:t>mudah</w:t>
      </w:r>
      <w:proofErr w:type="spellEnd"/>
      <w:r w:rsidR="00F1542B" w:rsidRPr="00E20E49">
        <w:rPr>
          <w:rFonts w:ascii="Times New Roman" w:hAnsi="Times New Roman" w:cs="Times New Roman"/>
          <w:sz w:val="24"/>
          <w:szCs w:val="24"/>
        </w:rPr>
        <w:t>,</w:t>
      </w:r>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murah</w:t>
      </w:r>
      <w:proofErr w:type="spellEnd"/>
      <w:r w:rsidR="00F1542B" w:rsidRPr="00E20E49">
        <w:rPr>
          <w:rFonts w:ascii="Times New Roman" w:hAnsi="Times New Roman" w:cs="Times New Roman"/>
          <w:sz w:val="24"/>
          <w:szCs w:val="24"/>
        </w:rPr>
        <w:t>,</w:t>
      </w:r>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terjangkau</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serta</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rutin</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dilakukan</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diharapkan</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dapat</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membantu</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tatalaksana</w:t>
      </w:r>
      <w:proofErr w:type="spellEnd"/>
      <w:r w:rsidR="001367B5" w:rsidRPr="00E20E49">
        <w:rPr>
          <w:rFonts w:ascii="Times New Roman" w:hAnsi="Times New Roman" w:cs="Times New Roman"/>
          <w:sz w:val="24"/>
          <w:szCs w:val="24"/>
        </w:rPr>
        <w:t xml:space="preserve"> </w:t>
      </w:r>
      <w:proofErr w:type="spellStart"/>
      <w:r w:rsidR="001367B5" w:rsidRPr="00E20E49">
        <w:rPr>
          <w:rFonts w:ascii="Times New Roman" w:hAnsi="Times New Roman" w:cs="Times New Roman"/>
          <w:sz w:val="24"/>
          <w:szCs w:val="24"/>
        </w:rPr>
        <w:t>pasien</w:t>
      </w:r>
      <w:proofErr w:type="spellEnd"/>
      <w:r w:rsidR="001367B5" w:rsidRPr="00E20E49">
        <w:rPr>
          <w:rFonts w:ascii="Times New Roman" w:hAnsi="Times New Roman" w:cs="Times New Roman"/>
          <w:sz w:val="24"/>
          <w:szCs w:val="24"/>
        </w:rPr>
        <w:t xml:space="preserve"> KNF.</w:t>
      </w:r>
    </w:p>
    <w:p w14:paraId="020EBAEC" w14:textId="2C4F6416" w:rsidR="00F1542B" w:rsidRPr="00E20E49" w:rsidRDefault="00F1542B" w:rsidP="00AF5473">
      <w:pPr>
        <w:spacing w:line="360" w:lineRule="auto"/>
        <w:ind w:firstLine="720"/>
        <w:jc w:val="both"/>
        <w:rPr>
          <w:rFonts w:ascii="Times New Roman" w:hAnsi="Times New Roman" w:cs="Times New Roman"/>
          <w:sz w:val="24"/>
          <w:szCs w:val="24"/>
        </w:rPr>
      </w:pPr>
      <w:proofErr w:type="spellStart"/>
      <w:r w:rsidRPr="00E20E49">
        <w:rPr>
          <w:rFonts w:ascii="Times New Roman" w:hAnsi="Times New Roman" w:cs="Times New Roman"/>
          <w:sz w:val="24"/>
          <w:szCs w:val="24"/>
        </w:rPr>
        <w:t>Pemeriksaan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darah</w:t>
      </w:r>
      <w:proofErr w:type="spellEnd"/>
      <w:r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lengka</w:t>
      </w:r>
      <w:r w:rsidR="00D92134" w:rsidRPr="00E20E49">
        <w:rPr>
          <w:rFonts w:ascii="Times New Roman" w:hAnsi="Times New Roman" w:cs="Times New Roman"/>
          <w:sz w:val="24"/>
          <w:szCs w:val="24"/>
        </w:rPr>
        <w:t>p</w:t>
      </w:r>
      <w:proofErr w:type="spellEnd"/>
      <w:r w:rsidR="00627017" w:rsidRPr="00E20E49">
        <w:rPr>
          <w:rFonts w:ascii="Times New Roman" w:hAnsi="Times New Roman" w:cs="Times New Roman"/>
          <w:sz w:val="24"/>
          <w:szCs w:val="24"/>
        </w:rPr>
        <w:t xml:space="preserve"> </w:t>
      </w:r>
      <w:r w:rsidRPr="00E20E49">
        <w:rPr>
          <w:rFonts w:ascii="Times New Roman" w:hAnsi="Times New Roman" w:cs="Times New Roman"/>
          <w:sz w:val="24"/>
          <w:szCs w:val="24"/>
        </w:rPr>
        <w:t xml:space="preserve">pada </w:t>
      </w:r>
      <w:proofErr w:type="spellStart"/>
      <w:r w:rsidRPr="00E20E49">
        <w:rPr>
          <w:rFonts w:ascii="Times New Roman" w:hAnsi="Times New Roman" w:cs="Times New Roman"/>
          <w:sz w:val="24"/>
          <w:szCs w:val="24"/>
        </w:rPr>
        <w:t>pasien</w:t>
      </w:r>
      <w:proofErr w:type="spellEnd"/>
      <w:r w:rsidRPr="00E20E49">
        <w:rPr>
          <w:rFonts w:ascii="Times New Roman" w:hAnsi="Times New Roman" w:cs="Times New Roman"/>
          <w:sz w:val="24"/>
          <w:szCs w:val="24"/>
        </w:rPr>
        <w:t xml:space="preserve"> </w:t>
      </w:r>
      <w:r w:rsidR="00D92134" w:rsidRPr="00E20E49">
        <w:rPr>
          <w:rFonts w:ascii="Times New Roman" w:hAnsi="Times New Roman" w:cs="Times New Roman"/>
          <w:sz w:val="24"/>
          <w:szCs w:val="24"/>
        </w:rPr>
        <w:t>KNF</w:t>
      </w:r>
      <w:r w:rsidR="00627017"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rutin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dilakukan</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sesuai</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panduan</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praktik</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klinik</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nasional</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Pemeriksaan</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darah</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lengkap</w:t>
      </w:r>
      <w:proofErr w:type="spellEnd"/>
      <w:r w:rsidR="00627017" w:rsidRPr="00E20E49">
        <w:rPr>
          <w:rFonts w:ascii="Times New Roman" w:hAnsi="Times New Roman" w:cs="Times New Roman"/>
          <w:sz w:val="24"/>
          <w:szCs w:val="24"/>
        </w:rPr>
        <w:t xml:space="preserve"> </w:t>
      </w:r>
      <w:proofErr w:type="spellStart"/>
      <w:r w:rsidR="00D92134" w:rsidRPr="00E20E49">
        <w:rPr>
          <w:rFonts w:ascii="Times New Roman" w:hAnsi="Times New Roman" w:cs="Times New Roman"/>
          <w:sz w:val="24"/>
          <w:szCs w:val="24"/>
        </w:rPr>
        <w:t>diantaranya</w:t>
      </w:r>
      <w:proofErr w:type="spellEnd"/>
      <w:r w:rsidR="00D92134"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terdiri</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dari</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pemeriksaan</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darah</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rutin</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seperti</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hitung</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jenis</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lekosit</w:t>
      </w:r>
      <w:proofErr w:type="spellEnd"/>
      <w:r w:rsidR="00627017" w:rsidRPr="00E20E49">
        <w:rPr>
          <w:rFonts w:ascii="Times New Roman" w:hAnsi="Times New Roman" w:cs="Times New Roman"/>
          <w:sz w:val="24"/>
          <w:szCs w:val="24"/>
        </w:rPr>
        <w:t xml:space="preserve"> dan </w:t>
      </w:r>
      <w:proofErr w:type="spellStart"/>
      <w:r w:rsidR="00627017" w:rsidRPr="00E20E49">
        <w:rPr>
          <w:rFonts w:ascii="Times New Roman" w:hAnsi="Times New Roman" w:cs="Times New Roman"/>
          <w:sz w:val="24"/>
          <w:szCs w:val="24"/>
        </w:rPr>
        <w:t>jumlah</w:t>
      </w:r>
      <w:proofErr w:type="spellEnd"/>
      <w:r w:rsidR="00627017" w:rsidRPr="00E20E49">
        <w:rPr>
          <w:rFonts w:ascii="Times New Roman" w:hAnsi="Times New Roman" w:cs="Times New Roman"/>
          <w:sz w:val="24"/>
          <w:szCs w:val="24"/>
        </w:rPr>
        <w:t xml:space="preserve"> </w:t>
      </w:r>
      <w:proofErr w:type="spellStart"/>
      <w:r w:rsidR="00627017" w:rsidRPr="00E20E49">
        <w:rPr>
          <w:rFonts w:ascii="Times New Roman" w:hAnsi="Times New Roman" w:cs="Times New Roman"/>
          <w:sz w:val="24"/>
          <w:szCs w:val="24"/>
        </w:rPr>
        <w:t>trombosit</w:t>
      </w:r>
      <w:proofErr w:type="spellEnd"/>
      <w:r w:rsidR="00627017" w:rsidRPr="00E20E49">
        <w:rPr>
          <w:rFonts w:ascii="Times New Roman" w:hAnsi="Times New Roman" w:cs="Times New Roman"/>
          <w:sz w:val="24"/>
          <w:szCs w:val="24"/>
        </w:rPr>
        <w:t>.</w:t>
      </w:r>
      <w:r w:rsidR="00D92134" w:rsidRPr="00E20E49">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approach.","author":[{"dropping-particle":"","family":"PP PERHATI-KL","given":"","non-dropping-particle":"","parse-names":false,"suffix":""}],"id":"ITEM-1","issued":{"date-parts":[["2016"]]},"number-of-pages":"16-19","title":"Panduan Praktik Klinis THT-KL","type":"book","volume":"2"},"uris":["http://www.mendeley.com/documents/?uuid=03dc0b13-297f-4602-849f-0a56e5139d86"]}],"mendeley":{"formattedCitation":"(7)","plainTextFormattedCitation":"(7)","previouslyFormattedCitation":"(PP PERHATI-KL, 2016)"},"properties":{"noteIndex":0},"schema":"https://github.com/citation-style-language/schema/raw/master/csl-citation.json"}</w:instrText>
      </w:r>
      <w:r w:rsidR="00D92134" w:rsidRPr="00E20E49">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(7)</w:t>
      </w:r>
      <w:r w:rsidR="00D92134" w:rsidRPr="00E20E49">
        <w:rPr>
          <w:rFonts w:ascii="Times New Roman" w:hAnsi="Times New Roman" w:cs="Times New Roman"/>
          <w:sz w:val="24"/>
          <w:szCs w:val="24"/>
        </w:rPr>
        <w:fldChar w:fldCharType="end"/>
      </w:r>
    </w:p>
    <w:p w14:paraId="70156D75" w14:textId="1CBB2767" w:rsidR="00AF7CED" w:rsidRDefault="004E1E7C" w:rsidP="00AF54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1863</w:t>
      </w:r>
      <w:r w:rsidR="00013AC7">
        <w:rPr>
          <w:rFonts w:ascii="Times New Roman" w:hAnsi="Times New Roman" w:cs="Times New Roman"/>
          <w:sz w:val="24"/>
          <w:szCs w:val="24"/>
        </w:rPr>
        <w:t xml:space="preserve"> </w:t>
      </w:r>
      <w:r w:rsidR="00AF7CED">
        <w:rPr>
          <w:rFonts w:ascii="Times New Roman" w:hAnsi="Times New Roman" w:cs="Times New Roman"/>
          <w:sz w:val="24"/>
          <w:szCs w:val="24"/>
        </w:rPr>
        <w:t xml:space="preserve">Virchow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00AF7CED">
        <w:rPr>
          <w:rFonts w:ascii="Times New Roman" w:hAnsi="Times New Roman" w:cs="Times New Roman"/>
          <w:sz w:val="24"/>
          <w:szCs w:val="24"/>
        </w:rPr>
        <w:t>inflamasi</w:t>
      </w:r>
      <w:proofErr w:type="spellEnd"/>
      <w:r w:rsidR="00AF7CED">
        <w:rPr>
          <w:rFonts w:ascii="Times New Roman" w:hAnsi="Times New Roman" w:cs="Times New Roman"/>
          <w:sz w:val="24"/>
          <w:szCs w:val="24"/>
        </w:rPr>
        <w:t xml:space="preserve"> dan </w:t>
      </w:r>
      <w:proofErr w:type="spellStart"/>
      <w:r w:rsidR="00AF7CED">
        <w:rPr>
          <w:rFonts w:ascii="Times New Roman" w:hAnsi="Times New Roman" w:cs="Times New Roman"/>
          <w:sz w:val="24"/>
          <w:szCs w:val="24"/>
        </w:rPr>
        <w:t>kanker</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hingga</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sekitar</w:t>
      </w:r>
      <w:proofErr w:type="spellEnd"/>
      <w:r w:rsidR="00DC7A93">
        <w:rPr>
          <w:rFonts w:ascii="Times New Roman" w:hAnsi="Times New Roman" w:cs="Times New Roman"/>
          <w:sz w:val="24"/>
          <w:szCs w:val="24"/>
        </w:rPr>
        <w:t xml:space="preserve"> 150 </w:t>
      </w:r>
      <w:proofErr w:type="spellStart"/>
      <w:r w:rsidR="00DC7A93">
        <w:rPr>
          <w:rFonts w:ascii="Times New Roman" w:hAnsi="Times New Roman" w:cs="Times New Roman"/>
          <w:sz w:val="24"/>
          <w:szCs w:val="24"/>
        </w:rPr>
        <w:t>tahun</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kemudian</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diketahui</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bahwa</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terdapat</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inflitrasi</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sel</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leukosit</w:t>
      </w:r>
      <w:proofErr w:type="spellEnd"/>
      <w:r w:rsidR="00DC7A93">
        <w:rPr>
          <w:rFonts w:ascii="Times New Roman" w:hAnsi="Times New Roman" w:cs="Times New Roman"/>
          <w:sz w:val="24"/>
          <w:szCs w:val="24"/>
        </w:rPr>
        <w:t xml:space="preserve"> pada </w:t>
      </w:r>
      <w:proofErr w:type="spellStart"/>
      <w:r w:rsidR="00DC7A93">
        <w:rPr>
          <w:rFonts w:ascii="Times New Roman" w:hAnsi="Times New Roman" w:cs="Times New Roman"/>
          <w:sz w:val="24"/>
          <w:szCs w:val="24"/>
        </w:rPr>
        <w:t>jaringan</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tumor</w:t>
      </w:r>
      <w:proofErr w:type="spellEnd"/>
      <w:r w:rsidR="00DC7A93">
        <w:rPr>
          <w:rFonts w:ascii="Times New Roman" w:hAnsi="Times New Roman" w:cs="Times New Roman"/>
          <w:sz w:val="24"/>
          <w:szCs w:val="24"/>
        </w:rPr>
        <w:t xml:space="preserve">. </w:t>
      </w:r>
      <w:proofErr w:type="spellStart"/>
      <w:r w:rsidR="00DC7A93">
        <w:rPr>
          <w:rFonts w:ascii="Times New Roman" w:hAnsi="Times New Roman" w:cs="Times New Roman"/>
          <w:sz w:val="24"/>
          <w:szCs w:val="24"/>
        </w:rPr>
        <w:t>P</w:t>
      </w:r>
      <w:r>
        <w:rPr>
          <w:rFonts w:ascii="Times New Roman" w:hAnsi="Times New Roman" w:cs="Times New Roman"/>
          <w:sz w:val="24"/>
          <w:szCs w:val="24"/>
        </w:rPr>
        <w:t>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inflamasi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karsinogenesis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biokimia</w:t>
      </w:r>
      <w:proofErr w:type="spellEnd"/>
      <w:r w:rsidR="00D9752B">
        <w:rPr>
          <w:rFonts w:ascii="Times New Roman" w:hAnsi="Times New Roman" w:cs="Times New Roman"/>
          <w:sz w:val="24"/>
          <w:szCs w:val="24"/>
        </w:rPr>
        <w:t xml:space="preserve"> dan </w:t>
      </w:r>
      <w:proofErr w:type="spellStart"/>
      <w:r w:rsidR="00D9752B">
        <w:rPr>
          <w:rFonts w:ascii="Times New Roman" w:hAnsi="Times New Roman" w:cs="Times New Roman"/>
          <w:sz w:val="24"/>
          <w:szCs w:val="24"/>
        </w:rPr>
        <w:t>menghasilkan</w:t>
      </w:r>
      <w:proofErr w:type="spellEnd"/>
      <w:r w:rsidR="00D9752B">
        <w:rPr>
          <w:rFonts w:ascii="Times New Roman" w:hAnsi="Times New Roman" w:cs="Times New Roman"/>
          <w:sz w:val="24"/>
          <w:szCs w:val="24"/>
        </w:rPr>
        <w:t xml:space="preserve"> stress </w:t>
      </w:r>
      <w:proofErr w:type="spellStart"/>
      <w:r w:rsidR="00D9752B">
        <w:rPr>
          <w:rFonts w:ascii="Times New Roman" w:hAnsi="Times New Roman" w:cs="Times New Roman"/>
          <w:sz w:val="24"/>
          <w:szCs w:val="24"/>
        </w:rPr>
        <w:t>oksidasi</w:t>
      </w:r>
      <w:proofErr w:type="spellEnd"/>
      <w:r w:rsidR="00D9752B">
        <w:rPr>
          <w:rFonts w:ascii="Times New Roman" w:hAnsi="Times New Roman" w:cs="Times New Roman"/>
          <w:sz w:val="24"/>
          <w:szCs w:val="24"/>
        </w:rPr>
        <w:t xml:space="preserve"> yang </w:t>
      </w:r>
      <w:proofErr w:type="spellStart"/>
      <w:r w:rsidR="00D9752B">
        <w:rPr>
          <w:rFonts w:ascii="Times New Roman" w:hAnsi="Times New Roman" w:cs="Times New Roman"/>
          <w:sz w:val="24"/>
          <w:szCs w:val="24"/>
        </w:rPr>
        <w:t>dapat</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menimbulkan</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kerusakan</w:t>
      </w:r>
      <w:proofErr w:type="spellEnd"/>
      <w:r w:rsidR="00D9752B">
        <w:rPr>
          <w:rFonts w:ascii="Times New Roman" w:hAnsi="Times New Roman" w:cs="Times New Roman"/>
          <w:sz w:val="24"/>
          <w:szCs w:val="24"/>
        </w:rPr>
        <w:t xml:space="preserve"> DNA </w:t>
      </w:r>
      <w:proofErr w:type="spellStart"/>
      <w:r w:rsidR="00D9752B">
        <w:rPr>
          <w:rFonts w:ascii="Times New Roman" w:hAnsi="Times New Roman" w:cs="Times New Roman"/>
          <w:sz w:val="24"/>
          <w:szCs w:val="24"/>
        </w:rPr>
        <w:t>serta</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ketidakstabilan</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kromosom</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sehingga</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berujung</w:t>
      </w:r>
      <w:proofErr w:type="spellEnd"/>
      <w:r w:rsidR="00D9752B">
        <w:rPr>
          <w:rFonts w:ascii="Times New Roman" w:hAnsi="Times New Roman" w:cs="Times New Roman"/>
          <w:sz w:val="24"/>
          <w:szCs w:val="24"/>
        </w:rPr>
        <w:t xml:space="preserve"> pada </w:t>
      </w:r>
      <w:proofErr w:type="spellStart"/>
      <w:r w:rsidR="00D9752B">
        <w:rPr>
          <w:rFonts w:ascii="Times New Roman" w:hAnsi="Times New Roman" w:cs="Times New Roman"/>
          <w:sz w:val="24"/>
          <w:szCs w:val="24"/>
        </w:rPr>
        <w:t>peningkatan</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proliferasi</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atau</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resistensi</w:t>
      </w:r>
      <w:proofErr w:type="spellEnd"/>
      <w:r w:rsidR="00D9752B">
        <w:rPr>
          <w:rFonts w:ascii="Times New Roman" w:hAnsi="Times New Roman" w:cs="Times New Roman"/>
          <w:sz w:val="24"/>
          <w:szCs w:val="24"/>
        </w:rPr>
        <w:t xml:space="preserve"> </w:t>
      </w:r>
      <w:proofErr w:type="spellStart"/>
      <w:r w:rsidR="00D9752B">
        <w:rPr>
          <w:rFonts w:ascii="Times New Roman" w:hAnsi="Times New Roman" w:cs="Times New Roman"/>
          <w:sz w:val="24"/>
          <w:szCs w:val="24"/>
        </w:rPr>
        <w:t>terhadap</w:t>
      </w:r>
      <w:proofErr w:type="spellEnd"/>
      <w:r w:rsidR="00D9752B">
        <w:rPr>
          <w:rFonts w:ascii="Times New Roman" w:hAnsi="Times New Roman" w:cs="Times New Roman"/>
          <w:sz w:val="24"/>
          <w:szCs w:val="24"/>
        </w:rPr>
        <w:t xml:space="preserve"> apoptosis.</w:t>
      </w:r>
      <w:r w:rsidR="003B6F80">
        <w:rPr>
          <w:rFonts w:ascii="Times New Roman" w:hAnsi="Times New Roman" w:cs="Times New Roman"/>
          <w:sz w:val="24"/>
          <w:szCs w:val="24"/>
        </w:rPr>
        <w:t xml:space="preserve"> Para </w:t>
      </w:r>
      <w:proofErr w:type="spellStart"/>
      <w:r w:rsidR="003B6F80">
        <w:rPr>
          <w:rFonts w:ascii="Times New Roman" w:hAnsi="Times New Roman" w:cs="Times New Roman"/>
          <w:sz w:val="24"/>
          <w:szCs w:val="24"/>
        </w:rPr>
        <w:t>peneliti</w:t>
      </w:r>
      <w:proofErr w:type="spellEnd"/>
      <w:r w:rsidR="003B6F80">
        <w:rPr>
          <w:rFonts w:ascii="Times New Roman" w:hAnsi="Times New Roman" w:cs="Times New Roman"/>
          <w:sz w:val="24"/>
          <w:szCs w:val="24"/>
        </w:rPr>
        <w:t xml:space="preserve"> </w:t>
      </w:r>
      <w:proofErr w:type="spellStart"/>
      <w:r w:rsidR="003B6F80">
        <w:rPr>
          <w:rFonts w:ascii="Times New Roman" w:hAnsi="Times New Roman" w:cs="Times New Roman"/>
          <w:sz w:val="24"/>
          <w:szCs w:val="24"/>
        </w:rPr>
        <w:t>menemukan</w:t>
      </w:r>
      <w:proofErr w:type="spellEnd"/>
      <w:r w:rsidR="003B6F80">
        <w:rPr>
          <w:rFonts w:ascii="Times New Roman" w:hAnsi="Times New Roman" w:cs="Times New Roman"/>
          <w:sz w:val="24"/>
          <w:szCs w:val="24"/>
        </w:rPr>
        <w:t xml:space="preserve"> </w:t>
      </w:r>
      <w:proofErr w:type="spellStart"/>
      <w:r w:rsidR="003B6F80">
        <w:rPr>
          <w:rFonts w:ascii="Times New Roman" w:hAnsi="Times New Roman" w:cs="Times New Roman"/>
          <w:sz w:val="24"/>
          <w:szCs w:val="24"/>
        </w:rPr>
        <w:t>bahwa</w:t>
      </w:r>
      <w:proofErr w:type="spellEnd"/>
      <w:r w:rsidR="003B6F80">
        <w:rPr>
          <w:rFonts w:ascii="Times New Roman" w:hAnsi="Times New Roman" w:cs="Times New Roman"/>
          <w:sz w:val="24"/>
          <w:szCs w:val="24"/>
        </w:rPr>
        <w:t xml:space="preserve"> s</w:t>
      </w:r>
      <w:r w:rsidR="00653D78">
        <w:rPr>
          <w:rFonts w:ascii="Times New Roman" w:hAnsi="Times New Roman" w:cs="Times New Roman"/>
          <w:sz w:val="24"/>
          <w:szCs w:val="24"/>
        </w:rPr>
        <w:t xml:space="preserve">alah </w:t>
      </w:r>
      <w:proofErr w:type="spellStart"/>
      <w:r w:rsidR="00653D78">
        <w:rPr>
          <w:rFonts w:ascii="Times New Roman" w:hAnsi="Times New Roman" w:cs="Times New Roman"/>
          <w:sz w:val="24"/>
          <w:szCs w:val="24"/>
        </w:rPr>
        <w:t>satu</w:t>
      </w:r>
      <w:proofErr w:type="spellEnd"/>
      <w:r w:rsidR="00653D78">
        <w:rPr>
          <w:rFonts w:ascii="Times New Roman" w:hAnsi="Times New Roman" w:cs="Times New Roman"/>
          <w:sz w:val="24"/>
          <w:szCs w:val="24"/>
        </w:rPr>
        <w:t xml:space="preserve"> </w:t>
      </w:r>
      <w:proofErr w:type="spellStart"/>
      <w:r w:rsidR="00653D78">
        <w:rPr>
          <w:rFonts w:ascii="Times New Roman" w:hAnsi="Times New Roman" w:cs="Times New Roman"/>
          <w:sz w:val="24"/>
          <w:szCs w:val="24"/>
        </w:rPr>
        <w:t>sifat</w:t>
      </w:r>
      <w:proofErr w:type="spellEnd"/>
      <w:r w:rsidR="00653D78">
        <w:rPr>
          <w:rFonts w:ascii="Times New Roman" w:hAnsi="Times New Roman" w:cs="Times New Roman"/>
          <w:sz w:val="24"/>
          <w:szCs w:val="24"/>
        </w:rPr>
        <w:t xml:space="preserve"> </w:t>
      </w:r>
      <w:proofErr w:type="spellStart"/>
      <w:r w:rsidR="00653D78">
        <w:rPr>
          <w:rFonts w:ascii="Times New Roman" w:hAnsi="Times New Roman" w:cs="Times New Roman"/>
          <w:sz w:val="24"/>
          <w:szCs w:val="24"/>
        </w:rPr>
        <w:t>penting</w:t>
      </w:r>
      <w:proofErr w:type="spellEnd"/>
      <w:r w:rsidR="00653D78">
        <w:rPr>
          <w:rFonts w:ascii="Times New Roman" w:hAnsi="Times New Roman" w:cs="Times New Roman"/>
          <w:sz w:val="24"/>
          <w:szCs w:val="24"/>
        </w:rPr>
        <w:t xml:space="preserve"> </w:t>
      </w:r>
      <w:proofErr w:type="spellStart"/>
      <w:r w:rsidR="00653D78">
        <w:rPr>
          <w:rFonts w:ascii="Times New Roman" w:hAnsi="Times New Roman" w:cs="Times New Roman"/>
          <w:sz w:val="24"/>
          <w:szCs w:val="24"/>
        </w:rPr>
        <w:t>tumor</w:t>
      </w:r>
      <w:proofErr w:type="spellEnd"/>
      <w:r w:rsidR="00653D78">
        <w:rPr>
          <w:rFonts w:ascii="Times New Roman" w:hAnsi="Times New Roman" w:cs="Times New Roman"/>
          <w:sz w:val="24"/>
          <w:szCs w:val="24"/>
        </w:rPr>
        <w:t xml:space="preserve"> </w:t>
      </w:r>
      <w:proofErr w:type="spellStart"/>
      <w:r w:rsidR="00653D78">
        <w:rPr>
          <w:rFonts w:ascii="Times New Roman" w:hAnsi="Times New Roman" w:cs="Times New Roman"/>
          <w:sz w:val="24"/>
          <w:szCs w:val="24"/>
        </w:rPr>
        <w:t>adalah</w:t>
      </w:r>
      <w:proofErr w:type="spellEnd"/>
      <w:r w:rsidR="00653D78">
        <w:rPr>
          <w:rFonts w:ascii="Times New Roman" w:hAnsi="Times New Roman" w:cs="Times New Roman"/>
          <w:sz w:val="24"/>
          <w:szCs w:val="24"/>
        </w:rPr>
        <w:t xml:space="preserve"> </w:t>
      </w:r>
      <w:proofErr w:type="spellStart"/>
      <w:r w:rsidR="00653D78">
        <w:rPr>
          <w:rFonts w:ascii="Times New Roman" w:hAnsi="Times New Roman" w:cs="Times New Roman"/>
          <w:sz w:val="24"/>
          <w:szCs w:val="24"/>
        </w:rPr>
        <w:t>terjadinya</w:t>
      </w:r>
      <w:proofErr w:type="spellEnd"/>
      <w:r w:rsidR="00653D78">
        <w:rPr>
          <w:rFonts w:ascii="Times New Roman" w:hAnsi="Times New Roman" w:cs="Times New Roman"/>
          <w:sz w:val="24"/>
          <w:szCs w:val="24"/>
        </w:rPr>
        <w:t xml:space="preserve"> </w:t>
      </w:r>
      <w:proofErr w:type="spellStart"/>
      <w:r w:rsidR="00653D78">
        <w:rPr>
          <w:rFonts w:ascii="Times New Roman" w:hAnsi="Times New Roman" w:cs="Times New Roman"/>
          <w:sz w:val="24"/>
          <w:szCs w:val="24"/>
        </w:rPr>
        <w:t>peningkatan</w:t>
      </w:r>
      <w:proofErr w:type="spellEnd"/>
      <w:r w:rsidR="00653D78">
        <w:rPr>
          <w:rFonts w:ascii="Times New Roman" w:hAnsi="Times New Roman" w:cs="Times New Roman"/>
          <w:sz w:val="24"/>
          <w:szCs w:val="24"/>
        </w:rPr>
        <w:t xml:space="preserve"> </w:t>
      </w:r>
      <w:proofErr w:type="spellStart"/>
      <w:r w:rsidR="00653D78">
        <w:rPr>
          <w:rFonts w:ascii="Times New Roman" w:hAnsi="Times New Roman" w:cs="Times New Roman"/>
          <w:sz w:val="24"/>
          <w:szCs w:val="24"/>
        </w:rPr>
        <w:t>inflamasi</w:t>
      </w:r>
      <w:proofErr w:type="spellEnd"/>
      <w:r w:rsidR="00653D78">
        <w:rPr>
          <w:rFonts w:ascii="Times New Roman" w:hAnsi="Times New Roman" w:cs="Times New Roman"/>
          <w:sz w:val="24"/>
          <w:szCs w:val="24"/>
        </w:rPr>
        <w:t xml:space="preserve"> oleh </w:t>
      </w:r>
      <w:proofErr w:type="spellStart"/>
      <w:r w:rsidR="00653D78">
        <w:rPr>
          <w:rFonts w:ascii="Times New Roman" w:hAnsi="Times New Roman" w:cs="Times New Roman"/>
          <w:sz w:val="24"/>
          <w:szCs w:val="24"/>
        </w:rPr>
        <w:t>tumor</w:t>
      </w:r>
      <w:proofErr w:type="spellEnd"/>
      <w:r w:rsidR="00653D78">
        <w:rPr>
          <w:rFonts w:ascii="Times New Roman" w:hAnsi="Times New Roman" w:cs="Times New Roman"/>
          <w:sz w:val="24"/>
          <w:szCs w:val="24"/>
        </w:rPr>
        <w:t>.</w:t>
      </w:r>
      <w:r w:rsidR="00653D78">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{"citationItems":[{"id":"ITEM-1","itemData":{"DOI":"10.1016/j.cell.2011.02.013","ISSN":"00928674","PMID":"21376230","abstract":"The hallmarks of cancer comprise six biological capabilities acquired during the multistep development of human tumors. The hallmarks constitute an organizing principle for rationalizing the complexities of neoplastic disease. They include sustaining proliferative signaling, evading growth suppressors, resisting cell death, enabling replicative immortality, inducing angiogenesis, and activating invasion and metastasis. Underlying these hallmarks are genome instability, which generates the genetic diversity that expedites their acquisition, and inflammation, which fosters multiple hallmark functions. Conceptual progress in the last decade has added two emerging hallmarks of potential generality to this list - reprogramming of energy metabolism and evading immune destruction. In addition to cancer cells, tumors exhibit another dimension of complexity: they contain a repertoire of recruited, ostensibly normal cells that contribute to the acquisition of hallmark traits by creating the \"tumor microenvironment.\" Recognition of the widespread applicability of these concepts will increasingly affect the development of new means to treat human cancer. © 2011 Elsevier Inc.","author":[{"dropping-particle":"","family":"Hanahan","given":"Douglas","non-dropping-particle":"","parse-names":false,"suffix":""},{"dropping-particle":"","family":"Weinberg","given":"Robert A.","non-dropping-particle":"","parse-names":false,"suffix":""}],"container-title":"Cell","id":"ITEM-1","issue":"5","issued":{"date-parts":[["2011"]]},"page":"646-674","publisher":"Elsevier Inc.","title":"Hallmarks of cancer: The next generation","type":"article-journal","volume":"144"},"uris":["http://www.mendeley.com/documents/?uuid=59be7ad8-bfaf-42a6-a368-8e180e4242d1"]},{"id":"ITEM-2","itemData":{"DOI":"10.1186/s12199-018-0740-1","ISBN":"9783319684482","ISSN":"13474715","PMID":"30340457","abstract":"Infection and inflammation account for approximately 25% of cancer-causing factors. Inflammation-related cancers are characterized by mutagenic DNA lesions, such as 8-oxo-7,8-dihydro-2′-deoxyguanosine (8-oxodG) and 8-nitroguanine. Our previous studies demonstrated the formation of 8-oxodG and 8-nitroguanine in the tissues of cancer and precancerous lesions due to infection (e.g., Opisthorchis viverrini-related cholangiocarcinoma, Schistosoma haematobium-associated bladder cancer, Helicobacter pylori-infected gastric cancer, human papillomavirus-related cervical cancer, Epstein-Barr virus-infected nasopharyngeal carcinoma) and pro-inflammatory factors (e.g., asbestos, nanomaterials, and inflammatory diseases such as Barrett's esophagus and oral leukoplakia). Interestingly, several of our studies suggested that inflammation-associated DNA damage in cancer stem-like cells leads to cancer development with aggressive clinical features. Reactive oxygen/nitrogen species from inflammation damage not only DNA but also other biomacromolecules, such as proteins and lipids, resulting in their dysfunction. We identified oxidatively damaged proteins in cancer tissues by 2D Oxyblot followed by MALDI-TOF/TOF. As an example, oxidatively damaged transferrin released iron ion, which may mediate Fenton reactions and generate additional reactive oxygen species. Dysfunction of anti-oxidative proteins due to this damage might increase oxidative stress. Such damage in biomacromolecules may form a vicious cycle of oxidative stress, leading to cancer development. Epigenetic alterations such as DNA methylation and microRNA dysregulation play vital roles in carcinogenesis, especially in inflammation-related cancers. We examined epigenetic alterations, DNA methylation and microRNA dysregulation, in Epstein-Barr virus-related nasopharyngeal carcinoma in the endemic area of Southern China and found several differentially methylated tumor suppressor gene candidates by using a next-generation sequencer. Among these candidates, we revealed higher methylation rates of RAS-like estrogen-regulated growth inhibitor (RERG) in biopsy specimens of nasopharyngeal carcinoma more conveniently by using restriction enzyme-based real-time PCR. This result may help to improve cancer screening strategies. We profiled microRNAs of nasopharyngeal carcinoma tissues using microarrays. Quantitative RT-PCR analysis confirmed the concordant downregulation of miR-497 in cancer tissues and plasma, suggesting t…","author":[{"dropping-particle":"","family":"Ribatti","given":"Domenico","non-dropping-particle":"","parse-names":false,"suffix":""}],"chapter-number":"5","container-title":"Inflammation and Angiogenesis.","id":"ITEM-2","issue":"1","issued":{"date-parts":[["2017"]]},"page":"17-24","publisher":"Springer, Cham","title":"Inflammation and Cancer","type":"chapter","volume":"23"},"uris":["http://www.mendeley.com/documents/?uuid=77874f2b-e138-4e14-a8a7-42b0d53c4838"]}],"mendeley":{"formattedCitation":"(8,9)","plainTextFormattedCitation":"(8,9)","previouslyFormattedCitation":"(Hanahan and Weinberg, 2011; Ribatti, 2017)"},"properties":{"noteIndex":0},"schema":"https://github.com/citation-style-language/schema/raw/master/csl-citation.json"}</w:instrText>
      </w:r>
      <w:r w:rsidR="00653D78">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(8,9)</w:t>
      </w:r>
      <w:r w:rsidR="00653D78">
        <w:rPr>
          <w:rFonts w:ascii="Times New Roman" w:hAnsi="Times New Roman" w:cs="Times New Roman"/>
          <w:sz w:val="24"/>
          <w:szCs w:val="24"/>
        </w:rPr>
        <w:fldChar w:fldCharType="end"/>
      </w:r>
    </w:p>
    <w:p w14:paraId="1F36DD80" w14:textId="41B71A74" w:rsidR="00F43881" w:rsidRPr="00E20E49" w:rsidRDefault="00E91BFA" w:rsidP="00AF5473">
      <w:pPr>
        <w:spacing w:line="360" w:lineRule="auto"/>
        <w:ind w:firstLine="720"/>
        <w:jc w:val="both"/>
        <w:rPr>
          <w:rFonts w:ascii="Times New Roman" w:hAnsi="Times New Roman" w:cs="Times New Roman"/>
          <w:sz w:val="24"/>
          <w:szCs w:val="24"/>
        </w:rPr>
      </w:pPr>
      <w:proofErr w:type="spellStart"/>
      <w:r w:rsidRPr="00E20E49">
        <w:rPr>
          <w:rFonts w:ascii="Times New Roman" w:hAnsi="Times New Roman" w:cs="Times New Roman"/>
          <w:sz w:val="24"/>
          <w:szCs w:val="24"/>
        </w:rPr>
        <w:t>Sel-sel</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inflamasi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memiliki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peran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penting</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dalam</w:t>
      </w:r>
      <w:proofErr w:type="spellEnd"/>
      <w:r w:rsidRPr="00E20E49">
        <w:rPr>
          <w:rFonts w:ascii="Times New Roman" w:hAnsi="Times New Roman" w:cs="Times New Roman"/>
          <w:sz w:val="24"/>
          <w:szCs w:val="24"/>
        </w:rPr>
        <w:t xml:space="preserve"> </w:t>
      </w:r>
      <w:proofErr w:type="spellStart"/>
      <w:r w:rsidR="00663A25" w:rsidRPr="00E20E49">
        <w:rPr>
          <w:rFonts w:ascii="Times New Roman" w:hAnsi="Times New Roman" w:cs="Times New Roman"/>
          <w:sz w:val="24"/>
          <w:szCs w:val="24"/>
        </w:rPr>
        <w:t>pembentukan</w:t>
      </w:r>
      <w:proofErr w:type="spellEnd"/>
      <w:r w:rsidR="00663A25" w:rsidRPr="00E20E49">
        <w:rPr>
          <w:rFonts w:ascii="Times New Roman" w:hAnsi="Times New Roman" w:cs="Times New Roman"/>
          <w:sz w:val="24"/>
          <w:szCs w:val="24"/>
        </w:rPr>
        <w:t xml:space="preserve"> dan </w:t>
      </w:r>
      <w:proofErr w:type="spellStart"/>
      <w:r w:rsidRPr="00E20E49">
        <w:rPr>
          <w:rFonts w:ascii="Times New Roman" w:hAnsi="Times New Roman" w:cs="Times New Roman"/>
          <w:sz w:val="24"/>
          <w:szCs w:val="24"/>
        </w:rPr>
        <w:t>pertumbuhan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tumor</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serta</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memiliki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fa</w:t>
      </w:r>
      <w:r w:rsidR="00FD2529" w:rsidRPr="00E20E49">
        <w:rPr>
          <w:rFonts w:ascii="Times New Roman" w:hAnsi="Times New Roman" w:cs="Times New Roman"/>
          <w:sz w:val="24"/>
          <w:szCs w:val="24"/>
        </w:rPr>
        <w:t>k</w:t>
      </w:r>
      <w:r w:rsidRPr="00E20E49">
        <w:rPr>
          <w:rFonts w:ascii="Times New Roman" w:hAnsi="Times New Roman" w:cs="Times New Roman"/>
          <w:sz w:val="24"/>
          <w:szCs w:val="24"/>
        </w:rPr>
        <w:t>tor</w:t>
      </w:r>
      <w:proofErr w:type="spellEnd"/>
      <w:r w:rsidRPr="00E20E49">
        <w:rPr>
          <w:rFonts w:ascii="Times New Roman" w:hAnsi="Times New Roman" w:cs="Times New Roman"/>
          <w:sz w:val="24"/>
          <w:szCs w:val="24"/>
        </w:rPr>
        <w:t xml:space="preserve"> prognosis pada </w:t>
      </w:r>
      <w:proofErr w:type="spellStart"/>
      <w:r w:rsidRPr="00E20E49">
        <w:rPr>
          <w:rFonts w:ascii="Times New Roman" w:hAnsi="Times New Roman" w:cs="Times New Roman"/>
          <w:sz w:val="24"/>
          <w:szCs w:val="24"/>
        </w:rPr>
        <w:t>seju</w:t>
      </w:r>
      <w:r w:rsidR="00663A25" w:rsidRPr="00E20E49">
        <w:rPr>
          <w:rFonts w:ascii="Times New Roman" w:hAnsi="Times New Roman" w:cs="Times New Roman"/>
          <w:sz w:val="24"/>
          <w:szCs w:val="24"/>
        </w:rPr>
        <w:t>m</w:t>
      </w:r>
      <w:r w:rsidRPr="00E20E49">
        <w:rPr>
          <w:rFonts w:ascii="Times New Roman" w:hAnsi="Times New Roman" w:cs="Times New Roman"/>
          <w:sz w:val="24"/>
          <w:szCs w:val="24"/>
        </w:rPr>
        <w:t>lah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kanker</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Hubungan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antara</w:t>
      </w:r>
      <w:proofErr w:type="spellEnd"/>
      <w:r w:rsidRPr="00E20E49">
        <w:rPr>
          <w:rFonts w:ascii="Times New Roman" w:hAnsi="Times New Roman" w:cs="Times New Roman"/>
          <w:sz w:val="24"/>
          <w:szCs w:val="24"/>
        </w:rPr>
        <w:t xml:space="preserve"> prognosis </w:t>
      </w:r>
      <w:proofErr w:type="spellStart"/>
      <w:r w:rsidRPr="00E20E49">
        <w:rPr>
          <w:rFonts w:ascii="Times New Roman" w:hAnsi="Times New Roman" w:cs="Times New Roman"/>
          <w:sz w:val="24"/>
          <w:szCs w:val="24"/>
        </w:rPr>
        <w:t>dengan</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penanda</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hematologi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sederhana</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seperti</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limfosit</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netrofil</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trombosit</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telah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diketahui</w:t>
      </w:r>
      <w:proofErr w:type="spellEnd"/>
      <w:r w:rsidRPr="00E20E49">
        <w:rPr>
          <w:rFonts w:ascii="Times New Roman" w:hAnsi="Times New Roman" w:cs="Times New Roman"/>
          <w:sz w:val="24"/>
          <w:szCs w:val="24"/>
        </w:rPr>
        <w:t xml:space="preserve"> </w:t>
      </w:r>
      <w:r w:rsidR="00FD2529" w:rsidRPr="00E20E49">
        <w:rPr>
          <w:rFonts w:ascii="Times New Roman" w:hAnsi="Times New Roman" w:cs="Times New Roman"/>
          <w:sz w:val="24"/>
          <w:szCs w:val="24"/>
        </w:rPr>
        <w:t>pada</w:t>
      </w:r>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sejumlah</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kanker</w:t>
      </w:r>
      <w:proofErr w:type="spellEnd"/>
      <w:r w:rsidRPr="00E20E49">
        <w:rPr>
          <w:rFonts w:ascii="Times New Roman" w:hAnsi="Times New Roman" w:cs="Times New Roman"/>
          <w:sz w:val="24"/>
          <w:szCs w:val="24"/>
        </w:rPr>
        <w:t xml:space="preserve"> </w:t>
      </w:r>
      <w:proofErr w:type="spellStart"/>
      <w:r w:rsidRPr="00E20E49">
        <w:rPr>
          <w:rFonts w:ascii="Times New Roman" w:hAnsi="Times New Roman" w:cs="Times New Roman"/>
          <w:sz w:val="24"/>
          <w:szCs w:val="24"/>
        </w:rPr>
        <w:t>termasuk</w:t>
      </w:r>
      <w:proofErr w:type="spellEnd"/>
      <w:r w:rsidRPr="00E20E49">
        <w:rPr>
          <w:rFonts w:ascii="Times New Roman" w:hAnsi="Times New Roman" w:cs="Times New Roman"/>
          <w:sz w:val="24"/>
          <w:szCs w:val="24"/>
        </w:rPr>
        <w:t xml:space="preserve"> pada KNF</w:t>
      </w:r>
      <w:r w:rsidR="00663A25" w:rsidRPr="00E20E49">
        <w:rPr>
          <w:rFonts w:ascii="Times New Roman" w:hAnsi="Times New Roman" w:cs="Times New Roman"/>
          <w:sz w:val="24"/>
          <w:szCs w:val="24"/>
        </w:rPr>
        <w:t xml:space="preserve"> di </w:t>
      </w:r>
      <w:proofErr w:type="spellStart"/>
      <w:r w:rsidR="00663A25" w:rsidRPr="00E20E49">
        <w:rPr>
          <w:rFonts w:ascii="Times New Roman" w:hAnsi="Times New Roman" w:cs="Times New Roman"/>
          <w:sz w:val="24"/>
          <w:szCs w:val="24"/>
        </w:rPr>
        <w:t>Cina</w:t>
      </w:r>
      <w:proofErr w:type="spellEnd"/>
      <w:r w:rsidR="00663A25" w:rsidRPr="00E20E49">
        <w:rPr>
          <w:rFonts w:ascii="Times New Roman" w:hAnsi="Times New Roman" w:cs="Times New Roman"/>
          <w:sz w:val="24"/>
          <w:szCs w:val="24"/>
        </w:rPr>
        <w:t xml:space="preserve">, Korea </w:t>
      </w:r>
      <w:proofErr w:type="spellStart"/>
      <w:r w:rsidR="00663A25" w:rsidRPr="00E20E49">
        <w:rPr>
          <w:rFonts w:ascii="Times New Roman" w:hAnsi="Times New Roman" w:cs="Times New Roman"/>
          <w:sz w:val="24"/>
          <w:szCs w:val="24"/>
        </w:rPr>
        <w:t>serta</w:t>
      </w:r>
      <w:proofErr w:type="spellEnd"/>
      <w:r w:rsidR="00663A25" w:rsidRPr="00E20E49">
        <w:rPr>
          <w:rFonts w:ascii="Times New Roman" w:hAnsi="Times New Roman" w:cs="Times New Roman"/>
          <w:sz w:val="24"/>
          <w:szCs w:val="24"/>
        </w:rPr>
        <w:t xml:space="preserve"> Singapura</w:t>
      </w:r>
      <w:r w:rsidRPr="00E20E49">
        <w:rPr>
          <w:rFonts w:ascii="Times New Roman" w:hAnsi="Times New Roman" w:cs="Times New Roman"/>
          <w:sz w:val="24"/>
          <w:szCs w:val="24"/>
        </w:rPr>
        <w:t xml:space="preserve">. </w:t>
      </w:r>
      <w:r w:rsidRPr="00E20E49">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{"citationItems":[{"id":"ITEM-1","itemData":{"DOI":"10.7150/jca.26770","ISBN":"8605328291134","ISSN":"18379664","abstract":"Purpose: Hematological parameters are considered to be associated with prognosis in various cancers. We designed a meta-analysis to evaluate the prognostic significance of hematological parameters, including the neutrophil-to-lymphocyte ratio (NLR), C-reactive protein/albumin ratio (CRP/ALB), lymphocyte-to-monocyte ratio (LMR), plasma fibrinogen level, Glasgow prognostic score (GPS), platelet-to-lymphocyte ratio (PLR) and high-density lipoprotein cholesterol (HDL-C) level, on clinical outcomes in nasopharyngeal carcinoma (NPC). Methods: Relevant studies published prior to February 2018 were identified in the PubMed, Web of Science, EMBASE and Cochrane library databases. The primary outcome was overall survival (OS), and the secondary outcome was progression-free survival (PFS). The pooled hazard ratios (HRs) and 95% confidence intervals (CIs) were calculated. Results: In total, 23 studies encompassing 23,417 patients were included in our meta-analysis. An elevated NLR was related to a poor OS (HR=1.46, 95% CI=1.30-1.63, p&lt;0.00001) and PFS (HR=1.67, 95% CI=1.36-2.07, p&lt;0.00001), and a high PLR was associated with a poor OS (HR=1.62, 95% CI=1.32-1.98, p&lt;0.00001). Additionally, a high LMR predicted a significantly favorable OS (HR=0.50, 95% CI: 0.43–0.58, p&lt;0.00001). CRP/ALB, the GPS, HDL-C and plasma fibrinogen levels were also related to OS and PFS. Conclusion: Inflammation-based prognostic scoring systems considering inflammatory cells (lymphocytes, neutrophils, platelets and monocytes) and proteins (ALB, CRP and HDL-C) are essential prognostic factors.","author":[{"dropping-particle":"","family":"Yang","given":"Shanshan","non-dropping-particle":"","parse-names":false,"suffix":""},{"dropping-particle":"","family":"Zhao","given":"Kun","non-dropping-particle":"","parse-names":false,"suffix":""},{"dropping-particle":"","family":"Ding","given":"Xiao","non-dropping-particle":"","parse-names":false,"suffix":""},{"dropping-particle":"","family":"Jiang","given":"Haiping","non-dropping-particle":"","parse-names":false,"suffix":""},{"dropping-particle":"","family":"Lu","given":"Haijun","non-dropping-particle":"","parse-names":false,"suffix":""}],"container-title":"Journal of Cancer","id":"ITEM-1","issue":"11","issued":{"date-parts":[["2019"]]},"page":"2568-2577","title":"Prognostic significance of hematological markers for patients with nasopharyngeal carcinoma: A meta-analysis","type":"article-journal","volume":"10"},"uris":["http://www.mendeley.com/documents/?uuid=25c1e763-2cf0-4fad-8fd1-997fe8cd55c2"]},{"id":"ITEM-2","itemData":{"DOI":"10.1002/hed.24224","ISBN":"0000000000","ISSN":"10970347","PMID":"26362911","abstract":"Background Pretreatment hematological markers of inflammatory response have emerged as prognostic factors for patients with cancer. In this study, we evaluated the prognostic significance of various hematologic parameters in patients with nasopharyngeal carcinoma (NPC). Methods Clinical data from 251 patients with NPC were retrospectively collected. Neutrophil counts, lymphocyte counts, platelet counts, neutrophil-lymphocyte ratio (NLR), and platelet-lymphocyte ratio (PLR) were adopted as potential prognostic biomarkers. The Kaplan-Meier method and log-rank test were adopted to calculate and compare the progression-free survival (PFS) and overall survival (OS) rates. The Cox proportional hazards model was used to carry out univariate and multivariate analyses. Results NLR ≥2.7 (hazard ratio [HR] = 2.01; 95% confidence interval [CI] = 1.23-3.29; p =.005) and PLR ≥167.2 (HR = 2.12; 95% CI = 1.35-3.33; p =.001) were significantly associated with shorter PFS, whereas PLR ≥163.4 (HR = 2.64; 95% CI = 1.25-5.60; p =.011) was correlated with poor OS. Conclusion Pretreatment NLR and PLR can be independent prognostic factors for patients with NPC.","author":[{"dropping-particle":"","family":"Hu","given":"Guoqing","non-dropping-particle":"","parse-names":false,"suffix":""},{"dropping-particle":"","family":"Sun","given":"Wei","non-dropping-particle":"","parse-names":false,"suffix":""},{"dropping-particle":"","family":"Zhang","given":"Linli","non-dropping-particle":"","parse-names":false,"suffix":""},{"dropping-particle":"","family":"Luo","given":"Min","non-dropping-particle":"","parse-names":false,"suffix":""},{"dropping-particle":"","family":"Hu","given":"Guangyuan","non-dropping-particle":"","parse-names":false,"suffix":""},{"dropping-particle":"","family":"Mei","given":"Qi","non-dropping-particle":"","parse-names":false,"suffix":""},{"dropping-particle":"","family":"Liu","given":"Dongbo","non-dropping-particle":"","parse-names":false,"suffix":""},{"dropping-particle":"","family":"Long","given":"Guoxian","non-dropping-particle":"","parse-names":false,"suffix":""}],"container-title":"Head and Neck","id":"ITEM-2","issue":"February","issued":{"date-parts":[["2016"]]},"page":"E1332-E1340","title":"Pretreatment hematologic markers as prognostic factors in patients with nasopharyngeal carcinoma: Neutrophil-lymphocyte ratio and platelet-lymphocyte ratio","type":"article-journal","volume":"38"},"uris":["http://www.mendeley.com/documents/?uuid=5902e7c0-6e3c-40ed-89fc-63668d10076c"]}],"mendeley":{"formattedCitation":"(10,11)","plainTextFormattedCitation":"(10,11)","previouslyFormattedCitation":"(Hu &lt;i&gt;et al.&lt;/i&gt;, 2016; Yang &lt;i&gt;et al.&lt;/i&gt;, 2019)"},"properties":{"noteIndex":0},"schema":"https://github.com/citation-style-language/schema/raw/master/csl-citation.json"}</w:instrText>
      </w:r>
      <w:r w:rsidRPr="00E20E49">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(10,11)</w:t>
      </w:r>
      <w:r w:rsidRPr="00E20E49">
        <w:rPr>
          <w:rFonts w:ascii="Times New Roman" w:hAnsi="Times New Roman" w:cs="Times New Roman"/>
          <w:sz w:val="24"/>
          <w:szCs w:val="24"/>
        </w:rPr>
        <w:fldChar w:fldCharType="end"/>
      </w:r>
      <w:r w:rsidR="00FB4839" w:rsidRPr="00E20E49">
        <w:rPr>
          <w:rFonts w:ascii="Times New Roman" w:hAnsi="Times New Roman" w:cs="Times New Roman"/>
          <w:sz w:val="24"/>
          <w:szCs w:val="24"/>
        </w:rPr>
        <w:t xml:space="preserve"> </w:t>
      </w:r>
      <w:proofErr w:type="spellStart"/>
      <w:r w:rsidR="00FB4839" w:rsidRPr="00E20E49">
        <w:rPr>
          <w:rFonts w:ascii="Times New Roman" w:hAnsi="Times New Roman" w:cs="Times New Roman"/>
          <w:sz w:val="24"/>
          <w:szCs w:val="24"/>
        </w:rPr>
        <w:t>Fenomena</w:t>
      </w:r>
      <w:proofErr w:type="spellEnd"/>
      <w:r w:rsidR="00FB4839" w:rsidRPr="00E20E49">
        <w:rPr>
          <w:rFonts w:ascii="Times New Roman" w:hAnsi="Times New Roman" w:cs="Times New Roman"/>
          <w:sz w:val="24"/>
          <w:szCs w:val="24"/>
        </w:rPr>
        <w:t xml:space="preserve"> </w:t>
      </w:r>
      <w:proofErr w:type="spellStart"/>
      <w:r w:rsidR="00FB4839" w:rsidRPr="00E20E49">
        <w:rPr>
          <w:rFonts w:ascii="Times New Roman" w:hAnsi="Times New Roman" w:cs="Times New Roman"/>
          <w:sz w:val="24"/>
          <w:szCs w:val="24"/>
        </w:rPr>
        <w:t>tersebut</w:t>
      </w:r>
      <w:proofErr w:type="spellEnd"/>
      <w:r w:rsidR="00FB483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menarik</w:t>
      </w:r>
      <w:proofErr w:type="spellEnd"/>
      <w:r w:rsidR="00FD2529" w:rsidRPr="00E20E49">
        <w:rPr>
          <w:rFonts w:ascii="Times New Roman" w:hAnsi="Times New Roman" w:cs="Times New Roman"/>
          <w:sz w:val="24"/>
          <w:szCs w:val="24"/>
        </w:rPr>
        <w:t xml:space="preserve"> </w:t>
      </w:r>
      <w:proofErr w:type="spellStart"/>
      <w:r w:rsidR="00FD2529" w:rsidRPr="00E20E49">
        <w:rPr>
          <w:rFonts w:ascii="Times New Roman" w:hAnsi="Times New Roman" w:cs="Times New Roman"/>
          <w:sz w:val="24"/>
          <w:szCs w:val="24"/>
        </w:rPr>
        <w:t>untuk</w:t>
      </w:r>
      <w:proofErr w:type="spellEnd"/>
      <w:r w:rsidR="00663A25" w:rsidRPr="00E20E49">
        <w:rPr>
          <w:rFonts w:ascii="Times New Roman" w:hAnsi="Times New Roman" w:cs="Times New Roman"/>
          <w:sz w:val="24"/>
          <w:szCs w:val="24"/>
        </w:rPr>
        <w:t xml:space="preserve"> </w:t>
      </w:r>
      <w:proofErr w:type="spellStart"/>
      <w:r w:rsidR="00663A25" w:rsidRPr="00E20E49">
        <w:rPr>
          <w:rFonts w:ascii="Times New Roman" w:hAnsi="Times New Roman" w:cs="Times New Roman"/>
          <w:sz w:val="24"/>
          <w:szCs w:val="24"/>
        </w:rPr>
        <w:lastRenderedPageBreak/>
        <w:t>diklarifikasi</w:t>
      </w:r>
      <w:proofErr w:type="spellEnd"/>
      <w:r w:rsidR="00663A25" w:rsidRPr="00E20E49">
        <w:rPr>
          <w:rFonts w:ascii="Times New Roman" w:hAnsi="Times New Roman" w:cs="Times New Roman"/>
          <w:sz w:val="24"/>
          <w:szCs w:val="24"/>
        </w:rPr>
        <w:t xml:space="preserve"> oleh </w:t>
      </w:r>
      <w:proofErr w:type="spellStart"/>
      <w:r w:rsidR="00663A25" w:rsidRPr="00E20E49">
        <w:rPr>
          <w:rFonts w:ascii="Times New Roman" w:hAnsi="Times New Roman" w:cs="Times New Roman"/>
          <w:sz w:val="24"/>
          <w:szCs w:val="24"/>
        </w:rPr>
        <w:t>penulis</w:t>
      </w:r>
      <w:proofErr w:type="spellEnd"/>
      <w:r w:rsidR="00FD2529" w:rsidRPr="00E20E49">
        <w:rPr>
          <w:rFonts w:ascii="Times New Roman" w:hAnsi="Times New Roman" w:cs="Times New Roman"/>
          <w:sz w:val="24"/>
          <w:szCs w:val="24"/>
        </w:rPr>
        <w:t xml:space="preserve"> pada</w:t>
      </w:r>
      <w:r w:rsidR="00663A25" w:rsidRPr="00E20E49">
        <w:rPr>
          <w:rFonts w:ascii="Times New Roman" w:hAnsi="Times New Roman" w:cs="Times New Roman"/>
          <w:sz w:val="24"/>
          <w:szCs w:val="24"/>
        </w:rPr>
        <w:t xml:space="preserve"> </w:t>
      </w:r>
      <w:proofErr w:type="spellStart"/>
      <w:r w:rsidR="00FB4839" w:rsidRPr="00E20E49">
        <w:rPr>
          <w:rFonts w:ascii="Times New Roman" w:hAnsi="Times New Roman" w:cs="Times New Roman"/>
          <w:sz w:val="24"/>
          <w:szCs w:val="24"/>
        </w:rPr>
        <w:t>pasien</w:t>
      </w:r>
      <w:proofErr w:type="spellEnd"/>
      <w:r w:rsidR="00FB4839" w:rsidRPr="00E20E49">
        <w:rPr>
          <w:rFonts w:ascii="Times New Roman" w:hAnsi="Times New Roman" w:cs="Times New Roman"/>
          <w:sz w:val="24"/>
          <w:szCs w:val="24"/>
        </w:rPr>
        <w:t xml:space="preserve"> KNF di Indonesia </w:t>
      </w:r>
      <w:proofErr w:type="spellStart"/>
      <w:r w:rsidR="00FB4839" w:rsidRPr="00E20E49">
        <w:rPr>
          <w:rFonts w:ascii="Times New Roman" w:hAnsi="Times New Roman" w:cs="Times New Roman"/>
          <w:sz w:val="24"/>
          <w:szCs w:val="24"/>
        </w:rPr>
        <w:t>khususnya</w:t>
      </w:r>
      <w:proofErr w:type="spellEnd"/>
      <w:r w:rsidR="00FB4839" w:rsidRPr="00E20E49">
        <w:rPr>
          <w:rFonts w:ascii="Times New Roman" w:hAnsi="Times New Roman" w:cs="Times New Roman"/>
          <w:sz w:val="24"/>
          <w:szCs w:val="24"/>
        </w:rPr>
        <w:t xml:space="preserve"> </w:t>
      </w:r>
      <w:proofErr w:type="spellStart"/>
      <w:r w:rsidR="00FB4839" w:rsidRPr="00E20E49">
        <w:rPr>
          <w:rFonts w:ascii="Times New Roman" w:hAnsi="Times New Roman" w:cs="Times New Roman"/>
          <w:sz w:val="24"/>
          <w:szCs w:val="24"/>
        </w:rPr>
        <w:t>daerah</w:t>
      </w:r>
      <w:proofErr w:type="spellEnd"/>
      <w:r w:rsidR="00FB4839" w:rsidRPr="00E20E49">
        <w:rPr>
          <w:rFonts w:ascii="Times New Roman" w:hAnsi="Times New Roman" w:cs="Times New Roman"/>
          <w:sz w:val="24"/>
          <w:szCs w:val="24"/>
        </w:rPr>
        <w:t xml:space="preserve"> </w:t>
      </w:r>
      <w:proofErr w:type="spellStart"/>
      <w:r w:rsidR="00FB4839" w:rsidRPr="00E20E49">
        <w:rPr>
          <w:rFonts w:ascii="Times New Roman" w:hAnsi="Times New Roman" w:cs="Times New Roman"/>
          <w:sz w:val="24"/>
          <w:szCs w:val="24"/>
        </w:rPr>
        <w:t>Jawa</w:t>
      </w:r>
      <w:proofErr w:type="spellEnd"/>
      <w:r w:rsidR="00FB4839" w:rsidRPr="00E20E49">
        <w:rPr>
          <w:rFonts w:ascii="Times New Roman" w:hAnsi="Times New Roman" w:cs="Times New Roman"/>
          <w:sz w:val="24"/>
          <w:szCs w:val="24"/>
        </w:rPr>
        <w:t xml:space="preserve"> Tengah </w:t>
      </w:r>
      <w:proofErr w:type="spellStart"/>
      <w:r w:rsidR="00FB4839" w:rsidRPr="00E20E49">
        <w:rPr>
          <w:rFonts w:ascii="Times New Roman" w:hAnsi="Times New Roman" w:cs="Times New Roman"/>
          <w:sz w:val="24"/>
          <w:szCs w:val="24"/>
        </w:rPr>
        <w:t>atau</w:t>
      </w:r>
      <w:proofErr w:type="spellEnd"/>
      <w:r w:rsidR="00FB4839" w:rsidRPr="00E20E49">
        <w:rPr>
          <w:rFonts w:ascii="Times New Roman" w:hAnsi="Times New Roman" w:cs="Times New Roman"/>
          <w:sz w:val="24"/>
          <w:szCs w:val="24"/>
        </w:rPr>
        <w:t xml:space="preserve"> </w:t>
      </w:r>
      <w:proofErr w:type="spellStart"/>
      <w:r w:rsidR="00FB4839" w:rsidRPr="00E20E49">
        <w:rPr>
          <w:rFonts w:ascii="Times New Roman" w:hAnsi="Times New Roman" w:cs="Times New Roman"/>
          <w:sz w:val="24"/>
          <w:szCs w:val="24"/>
        </w:rPr>
        <w:t>ras</w:t>
      </w:r>
      <w:proofErr w:type="spellEnd"/>
      <w:r w:rsidR="00FB4839" w:rsidRPr="00E20E49">
        <w:rPr>
          <w:rFonts w:ascii="Times New Roman" w:hAnsi="Times New Roman" w:cs="Times New Roman"/>
          <w:sz w:val="24"/>
          <w:szCs w:val="24"/>
        </w:rPr>
        <w:t xml:space="preserve"> </w:t>
      </w:r>
      <w:proofErr w:type="spellStart"/>
      <w:r w:rsidR="00FB4839" w:rsidRPr="00E20E49">
        <w:rPr>
          <w:rFonts w:ascii="Times New Roman" w:hAnsi="Times New Roman" w:cs="Times New Roman"/>
          <w:sz w:val="24"/>
          <w:szCs w:val="24"/>
        </w:rPr>
        <w:t>Jawa</w:t>
      </w:r>
      <w:proofErr w:type="spellEnd"/>
      <w:r w:rsidR="00FB4839" w:rsidRPr="00E20E49">
        <w:rPr>
          <w:rFonts w:ascii="Times New Roman" w:hAnsi="Times New Roman" w:cs="Times New Roman"/>
          <w:sz w:val="24"/>
          <w:szCs w:val="24"/>
        </w:rPr>
        <w:t xml:space="preserve"> di </w:t>
      </w:r>
      <w:proofErr w:type="spellStart"/>
      <w:r w:rsidR="00FB4839" w:rsidRPr="00E20E49">
        <w:rPr>
          <w:rFonts w:ascii="Times New Roman" w:hAnsi="Times New Roman" w:cs="Times New Roman"/>
          <w:sz w:val="24"/>
          <w:szCs w:val="24"/>
        </w:rPr>
        <w:t>daerah</w:t>
      </w:r>
      <w:proofErr w:type="spellEnd"/>
      <w:r w:rsidR="00FB4839" w:rsidRPr="00E20E49">
        <w:rPr>
          <w:rFonts w:ascii="Times New Roman" w:hAnsi="Times New Roman" w:cs="Times New Roman"/>
          <w:sz w:val="24"/>
          <w:szCs w:val="24"/>
        </w:rPr>
        <w:t xml:space="preserve"> </w:t>
      </w:r>
      <w:proofErr w:type="spellStart"/>
      <w:r w:rsidR="00FB4839" w:rsidRPr="00E20E49">
        <w:rPr>
          <w:rFonts w:ascii="Times New Roman" w:hAnsi="Times New Roman" w:cs="Times New Roman"/>
          <w:sz w:val="24"/>
          <w:szCs w:val="24"/>
        </w:rPr>
        <w:t>Gombong</w:t>
      </w:r>
      <w:proofErr w:type="spellEnd"/>
      <w:r w:rsidR="00FB4839" w:rsidRPr="00E20E49">
        <w:rPr>
          <w:rFonts w:ascii="Times New Roman" w:hAnsi="Times New Roman" w:cs="Times New Roman"/>
          <w:sz w:val="24"/>
          <w:szCs w:val="24"/>
        </w:rPr>
        <w:t>.</w:t>
      </w:r>
    </w:p>
    <w:bookmarkEnd w:id="0"/>
    <w:p w14:paraId="60A68354" w14:textId="36BD0BC1" w:rsidR="00DF6154" w:rsidRPr="00E20E49" w:rsidRDefault="00DF6154" w:rsidP="00E20E49">
      <w:pPr>
        <w:spacing w:line="360" w:lineRule="auto"/>
        <w:jc w:val="both"/>
        <w:rPr>
          <w:rFonts w:ascii="Times New Roman" w:hAnsi="Times New Roman" w:cs="Times New Roman"/>
          <w:b/>
          <w:bCs/>
          <w:sz w:val="24"/>
          <w:szCs w:val="24"/>
        </w:rPr>
      </w:pPr>
      <w:proofErr w:type="spellStart"/>
      <w:r w:rsidRPr="00E20E49">
        <w:rPr>
          <w:rFonts w:ascii="Times New Roman" w:hAnsi="Times New Roman" w:cs="Times New Roman"/>
          <w:b/>
          <w:bCs/>
          <w:sz w:val="24"/>
          <w:szCs w:val="24"/>
        </w:rPr>
        <w:t>Metode</w:t>
      </w:r>
      <w:proofErr w:type="spellEnd"/>
      <w:r w:rsidR="00C76B48" w:rsidRPr="00E20E49">
        <w:rPr>
          <w:rFonts w:ascii="Times New Roman" w:hAnsi="Times New Roman" w:cs="Times New Roman"/>
          <w:b/>
          <w:bCs/>
          <w:sz w:val="24"/>
          <w:szCs w:val="24"/>
        </w:rPr>
        <w:t xml:space="preserve"> dan </w:t>
      </w:r>
      <w:proofErr w:type="spellStart"/>
      <w:r w:rsidR="00C76B48" w:rsidRPr="00E20E49">
        <w:rPr>
          <w:rFonts w:ascii="Times New Roman" w:hAnsi="Times New Roman" w:cs="Times New Roman"/>
          <w:b/>
          <w:bCs/>
          <w:sz w:val="24"/>
          <w:szCs w:val="24"/>
        </w:rPr>
        <w:t>Bahan</w:t>
      </w:r>
      <w:proofErr w:type="spellEnd"/>
    </w:p>
    <w:p w14:paraId="7BCA41A3" w14:textId="129E73A2" w:rsidR="00C76B48" w:rsidRPr="00E20E49" w:rsidRDefault="00C76B48" w:rsidP="00E20E49">
      <w:pPr>
        <w:pStyle w:val="ListParagraph"/>
        <w:spacing w:line="360" w:lineRule="auto"/>
        <w:ind w:left="0" w:firstLine="720"/>
        <w:jc w:val="both"/>
      </w:pPr>
      <w:proofErr w:type="spellStart"/>
      <w:r w:rsidRPr="00E20E49">
        <w:rPr>
          <w:color w:val="000000"/>
        </w:rPr>
        <w:t>Merupakan</w:t>
      </w:r>
      <w:proofErr w:type="spellEnd"/>
      <w:r w:rsidRPr="00E20E49">
        <w:rPr>
          <w:color w:val="000000"/>
        </w:rPr>
        <w:t xml:space="preserve"> </w:t>
      </w:r>
      <w:proofErr w:type="spellStart"/>
      <w:r w:rsidRPr="00E20E49">
        <w:rPr>
          <w:color w:val="000000"/>
        </w:rPr>
        <w:t>studi</w:t>
      </w:r>
      <w:proofErr w:type="spellEnd"/>
      <w:r w:rsidRPr="00E20E49">
        <w:rPr>
          <w:color w:val="000000"/>
        </w:rPr>
        <w:t xml:space="preserve"> </w:t>
      </w:r>
      <w:proofErr w:type="spellStart"/>
      <w:r w:rsidRPr="00E20E49">
        <w:rPr>
          <w:color w:val="000000"/>
        </w:rPr>
        <w:t>analitik</w:t>
      </w:r>
      <w:proofErr w:type="spellEnd"/>
      <w:r w:rsidRPr="00E20E49">
        <w:rPr>
          <w:color w:val="000000"/>
        </w:rPr>
        <w:t xml:space="preserve"> </w:t>
      </w:r>
      <w:proofErr w:type="spellStart"/>
      <w:r w:rsidRPr="00E20E49">
        <w:rPr>
          <w:color w:val="000000"/>
        </w:rPr>
        <w:t>deskriptif</w:t>
      </w:r>
      <w:proofErr w:type="spellEnd"/>
      <w:r w:rsidRPr="00E20E49">
        <w:rPr>
          <w:color w:val="000000"/>
        </w:rPr>
        <w:t xml:space="preserve"> </w:t>
      </w:r>
      <w:r w:rsidRPr="00E20E49">
        <w:rPr>
          <w:i/>
          <w:iCs/>
          <w:color w:val="000000"/>
        </w:rPr>
        <w:t>cross sectional</w:t>
      </w:r>
      <w:r w:rsidRPr="00E20E49">
        <w:rPr>
          <w:color w:val="000000"/>
        </w:rPr>
        <w:t xml:space="preserve"> </w:t>
      </w:r>
      <w:proofErr w:type="spellStart"/>
      <w:r w:rsidRPr="00E20E49">
        <w:rPr>
          <w:color w:val="000000"/>
        </w:rPr>
        <w:t>retrospektif</w:t>
      </w:r>
      <w:proofErr w:type="spellEnd"/>
      <w:r w:rsidRPr="00E20E49">
        <w:rPr>
          <w:color w:val="000000"/>
        </w:rPr>
        <w:t xml:space="preserve"> </w:t>
      </w:r>
      <w:proofErr w:type="spellStart"/>
      <w:r w:rsidRPr="00E20E49">
        <w:rPr>
          <w:color w:val="000000"/>
        </w:rPr>
        <w:t>dari</w:t>
      </w:r>
      <w:proofErr w:type="spellEnd"/>
      <w:r w:rsidRPr="00E20E49">
        <w:rPr>
          <w:color w:val="000000"/>
        </w:rPr>
        <w:t xml:space="preserve"> data </w:t>
      </w:r>
      <w:proofErr w:type="spellStart"/>
      <w:r w:rsidRPr="00E20E49">
        <w:rPr>
          <w:color w:val="000000"/>
        </w:rPr>
        <w:t>s</w:t>
      </w:r>
      <w:r w:rsidR="00415D7F">
        <w:rPr>
          <w:color w:val="000000"/>
        </w:rPr>
        <w:t>e</w:t>
      </w:r>
      <w:r w:rsidRPr="00E20E49">
        <w:rPr>
          <w:color w:val="000000"/>
        </w:rPr>
        <w:t>kunder</w:t>
      </w:r>
      <w:proofErr w:type="spellEnd"/>
      <w:r w:rsidRPr="00E20E49">
        <w:rPr>
          <w:color w:val="000000"/>
        </w:rPr>
        <w:t xml:space="preserve"> </w:t>
      </w:r>
      <w:proofErr w:type="spellStart"/>
      <w:r w:rsidRPr="00E20E49">
        <w:rPr>
          <w:color w:val="000000"/>
        </w:rPr>
        <w:t>pasien</w:t>
      </w:r>
      <w:proofErr w:type="spellEnd"/>
      <w:r w:rsidRPr="00E20E49">
        <w:rPr>
          <w:color w:val="000000"/>
        </w:rPr>
        <w:t xml:space="preserve"> </w:t>
      </w:r>
      <w:proofErr w:type="spellStart"/>
      <w:r w:rsidRPr="00E20E49">
        <w:rPr>
          <w:color w:val="000000"/>
        </w:rPr>
        <w:t>terdiagnosis</w:t>
      </w:r>
      <w:proofErr w:type="spellEnd"/>
      <w:r w:rsidRPr="00E20E49">
        <w:rPr>
          <w:color w:val="000000"/>
        </w:rPr>
        <w:t xml:space="preserve"> </w:t>
      </w:r>
      <w:proofErr w:type="spellStart"/>
      <w:r w:rsidRPr="00E20E49">
        <w:rPr>
          <w:color w:val="000000"/>
        </w:rPr>
        <w:t>awal</w:t>
      </w:r>
      <w:proofErr w:type="spellEnd"/>
      <w:r w:rsidRPr="00E20E49">
        <w:rPr>
          <w:color w:val="000000"/>
        </w:rPr>
        <w:t xml:space="preserve"> </w:t>
      </w:r>
      <w:proofErr w:type="spellStart"/>
      <w:r w:rsidRPr="00E20E49">
        <w:rPr>
          <w:color w:val="000000"/>
        </w:rPr>
        <w:t>sebagai</w:t>
      </w:r>
      <w:proofErr w:type="spellEnd"/>
      <w:r w:rsidRPr="00E20E49">
        <w:rPr>
          <w:color w:val="000000"/>
        </w:rPr>
        <w:t xml:space="preserve"> </w:t>
      </w:r>
      <w:proofErr w:type="spellStart"/>
      <w:r w:rsidRPr="00E20E49">
        <w:rPr>
          <w:color w:val="000000"/>
        </w:rPr>
        <w:t>karsinoma</w:t>
      </w:r>
      <w:proofErr w:type="spellEnd"/>
      <w:r w:rsidRPr="00E20E49">
        <w:rPr>
          <w:color w:val="000000"/>
        </w:rPr>
        <w:t xml:space="preserve"> </w:t>
      </w:r>
      <w:proofErr w:type="spellStart"/>
      <w:r w:rsidRPr="00E20E49">
        <w:rPr>
          <w:color w:val="000000"/>
        </w:rPr>
        <w:t>nasofaring</w:t>
      </w:r>
      <w:proofErr w:type="spellEnd"/>
      <w:r w:rsidRPr="00E20E49">
        <w:rPr>
          <w:color w:val="000000"/>
        </w:rPr>
        <w:t xml:space="preserve"> (</w:t>
      </w:r>
      <w:proofErr w:type="spellStart"/>
      <w:r w:rsidRPr="00E20E49">
        <w:rPr>
          <w:color w:val="000000"/>
        </w:rPr>
        <w:t>pra</w:t>
      </w:r>
      <w:proofErr w:type="spellEnd"/>
      <w:r w:rsidRPr="00E20E49">
        <w:rPr>
          <w:color w:val="000000"/>
        </w:rPr>
        <w:t xml:space="preserve"> </w:t>
      </w:r>
      <w:proofErr w:type="spellStart"/>
      <w:r w:rsidRPr="00E20E49">
        <w:rPr>
          <w:color w:val="000000"/>
        </w:rPr>
        <w:t>terapi</w:t>
      </w:r>
      <w:proofErr w:type="spellEnd"/>
      <w:r w:rsidRPr="00E20E49">
        <w:rPr>
          <w:color w:val="000000"/>
        </w:rPr>
        <w:t xml:space="preserve">) di RS PKU Muhammadiyah Gombong </w:t>
      </w:r>
      <w:proofErr w:type="spellStart"/>
      <w:r w:rsidRPr="00E20E49">
        <w:rPr>
          <w:color w:val="000000"/>
        </w:rPr>
        <w:t>sejak</w:t>
      </w:r>
      <w:proofErr w:type="spellEnd"/>
      <w:r w:rsidRPr="00E20E49">
        <w:rPr>
          <w:color w:val="000000"/>
        </w:rPr>
        <w:t xml:space="preserve"> </w:t>
      </w:r>
      <w:proofErr w:type="spellStart"/>
      <w:r w:rsidRPr="00E20E49">
        <w:rPr>
          <w:color w:val="000000"/>
        </w:rPr>
        <w:t>tahun</w:t>
      </w:r>
      <w:proofErr w:type="spellEnd"/>
      <w:r w:rsidRPr="00E20E49">
        <w:rPr>
          <w:color w:val="000000"/>
        </w:rPr>
        <w:t xml:space="preserve"> 2015-2021</w:t>
      </w:r>
      <w:r w:rsidR="00D80EF2">
        <w:rPr>
          <w:color w:val="000000"/>
        </w:rPr>
        <w:t xml:space="preserve"> </w:t>
      </w:r>
      <w:proofErr w:type="spellStart"/>
      <w:r w:rsidR="00D80EF2">
        <w:rPr>
          <w:color w:val="000000"/>
        </w:rPr>
        <w:t>dari</w:t>
      </w:r>
      <w:proofErr w:type="spellEnd"/>
      <w:r w:rsidR="00D80EF2">
        <w:rPr>
          <w:color w:val="000000"/>
        </w:rPr>
        <w:t xml:space="preserve"> </w:t>
      </w:r>
      <w:proofErr w:type="spellStart"/>
      <w:r w:rsidR="00D80EF2">
        <w:rPr>
          <w:color w:val="000000"/>
        </w:rPr>
        <w:t>bagian</w:t>
      </w:r>
      <w:proofErr w:type="spellEnd"/>
      <w:r w:rsidR="00D80EF2">
        <w:rPr>
          <w:color w:val="000000"/>
        </w:rPr>
        <w:t xml:space="preserve"> </w:t>
      </w:r>
      <w:proofErr w:type="spellStart"/>
      <w:r w:rsidR="00D80EF2">
        <w:rPr>
          <w:color w:val="000000"/>
        </w:rPr>
        <w:t>rekam</w:t>
      </w:r>
      <w:proofErr w:type="spellEnd"/>
      <w:r w:rsidR="00D80EF2">
        <w:rPr>
          <w:color w:val="000000"/>
        </w:rPr>
        <w:t xml:space="preserve"> </w:t>
      </w:r>
      <w:proofErr w:type="spellStart"/>
      <w:r w:rsidR="00D80EF2">
        <w:rPr>
          <w:color w:val="000000"/>
        </w:rPr>
        <w:t>medik</w:t>
      </w:r>
      <w:proofErr w:type="spellEnd"/>
      <w:r w:rsidRPr="00E20E49">
        <w:rPr>
          <w:color w:val="000000"/>
        </w:rPr>
        <w:t xml:space="preserve">. Nilai </w:t>
      </w:r>
      <w:proofErr w:type="spellStart"/>
      <w:r w:rsidRPr="00E20E49">
        <w:rPr>
          <w:color w:val="000000"/>
        </w:rPr>
        <w:t>rujukan</w:t>
      </w:r>
      <w:proofErr w:type="spellEnd"/>
      <w:r w:rsidRPr="00E20E49">
        <w:rPr>
          <w:color w:val="000000"/>
        </w:rPr>
        <w:t xml:space="preserve"> </w:t>
      </w:r>
      <w:proofErr w:type="spellStart"/>
      <w:r w:rsidRPr="00E20E49">
        <w:rPr>
          <w:color w:val="000000"/>
        </w:rPr>
        <w:t>darah</w:t>
      </w:r>
      <w:proofErr w:type="spellEnd"/>
      <w:r w:rsidRPr="00E20E49">
        <w:rPr>
          <w:color w:val="000000"/>
        </w:rPr>
        <w:t xml:space="preserve"> </w:t>
      </w:r>
      <w:proofErr w:type="spellStart"/>
      <w:r w:rsidRPr="00E20E49">
        <w:rPr>
          <w:color w:val="000000"/>
        </w:rPr>
        <w:t>rutin</w:t>
      </w:r>
      <w:proofErr w:type="spellEnd"/>
      <w:r w:rsidRPr="00E20E49">
        <w:rPr>
          <w:color w:val="000000"/>
        </w:rPr>
        <w:t xml:space="preserve"> di </w:t>
      </w:r>
      <w:proofErr w:type="spellStart"/>
      <w:r w:rsidRPr="00E20E49">
        <w:rPr>
          <w:color w:val="000000"/>
        </w:rPr>
        <w:t>Laboratorium</w:t>
      </w:r>
      <w:proofErr w:type="spellEnd"/>
      <w:r w:rsidRPr="00E20E49">
        <w:rPr>
          <w:color w:val="000000"/>
        </w:rPr>
        <w:t xml:space="preserve"> </w:t>
      </w:r>
      <w:proofErr w:type="spellStart"/>
      <w:r w:rsidR="00D80EF2">
        <w:rPr>
          <w:color w:val="000000"/>
        </w:rPr>
        <w:t>Patologi</w:t>
      </w:r>
      <w:proofErr w:type="spellEnd"/>
      <w:r w:rsidR="00D80EF2">
        <w:rPr>
          <w:color w:val="000000"/>
        </w:rPr>
        <w:t xml:space="preserve"> Klinik </w:t>
      </w:r>
      <w:r w:rsidRPr="00E20E49">
        <w:rPr>
          <w:color w:val="000000"/>
        </w:rPr>
        <w:t xml:space="preserve">RS PKU Muhammadiyah Gombong yang </w:t>
      </w:r>
      <w:proofErr w:type="spellStart"/>
      <w:r w:rsidRPr="00E20E49">
        <w:rPr>
          <w:color w:val="000000"/>
        </w:rPr>
        <w:t>digunakan</w:t>
      </w:r>
      <w:proofErr w:type="spellEnd"/>
      <w:r w:rsidRPr="00E20E49">
        <w:rPr>
          <w:color w:val="000000"/>
        </w:rPr>
        <w:t xml:space="preserve"> </w:t>
      </w:r>
      <w:proofErr w:type="spellStart"/>
      <w:r w:rsidRPr="00E20E49">
        <w:rPr>
          <w:color w:val="000000"/>
        </w:rPr>
        <w:t>adalah</w:t>
      </w:r>
      <w:proofErr w:type="spellEnd"/>
      <w:r w:rsidRPr="00E20E49">
        <w:rPr>
          <w:color w:val="000000"/>
        </w:rPr>
        <w:t xml:space="preserve"> </w:t>
      </w:r>
      <w:proofErr w:type="spellStart"/>
      <w:r w:rsidRPr="00E20E49">
        <w:rPr>
          <w:color w:val="000000"/>
        </w:rPr>
        <w:t>trombosit</w:t>
      </w:r>
      <w:proofErr w:type="spellEnd"/>
      <w:r w:rsidRPr="00E20E49">
        <w:rPr>
          <w:color w:val="000000"/>
        </w:rPr>
        <w:t xml:space="preserve"> (150-440 </w:t>
      </w:r>
      <w:proofErr w:type="spellStart"/>
      <w:r w:rsidRPr="00E20E49">
        <w:rPr>
          <w:color w:val="000000"/>
        </w:rPr>
        <w:t>ribu</w:t>
      </w:r>
      <w:proofErr w:type="spellEnd"/>
      <w:r w:rsidRPr="00E20E49">
        <w:rPr>
          <w:color w:val="000000"/>
        </w:rPr>
        <w:t xml:space="preserve">/mL), </w:t>
      </w:r>
      <w:proofErr w:type="spellStart"/>
      <w:r w:rsidRPr="00E20E49">
        <w:rPr>
          <w:color w:val="000000"/>
        </w:rPr>
        <w:t>netrofil</w:t>
      </w:r>
      <w:proofErr w:type="spellEnd"/>
      <w:r w:rsidR="00E20E49">
        <w:rPr>
          <w:color w:val="000000"/>
        </w:rPr>
        <w:t xml:space="preserve"> (50-70%)</w:t>
      </w:r>
      <w:r w:rsidRPr="00E20E49">
        <w:rPr>
          <w:color w:val="000000"/>
        </w:rPr>
        <w:t xml:space="preserve"> dan </w:t>
      </w:r>
      <w:proofErr w:type="spellStart"/>
      <w:r w:rsidRPr="00E20E49">
        <w:rPr>
          <w:color w:val="000000"/>
        </w:rPr>
        <w:t>limfosit</w:t>
      </w:r>
      <w:proofErr w:type="spellEnd"/>
      <w:r w:rsidR="00E20E49">
        <w:rPr>
          <w:color w:val="000000"/>
        </w:rPr>
        <w:t xml:space="preserve"> (25-40%)</w:t>
      </w:r>
      <w:r w:rsidRPr="00E20E49">
        <w:rPr>
          <w:color w:val="000000"/>
        </w:rPr>
        <w:t xml:space="preserve">. </w:t>
      </w:r>
      <w:proofErr w:type="spellStart"/>
      <w:r w:rsidRPr="00E20E49">
        <w:rPr>
          <w:color w:val="000000"/>
        </w:rPr>
        <w:t>Dikatakan</w:t>
      </w:r>
      <w:proofErr w:type="spellEnd"/>
      <w:r w:rsidRPr="00E20E49">
        <w:rPr>
          <w:color w:val="000000"/>
        </w:rPr>
        <w:t xml:space="preserve"> </w:t>
      </w:r>
      <w:proofErr w:type="spellStart"/>
      <w:r w:rsidRPr="00E20E49">
        <w:rPr>
          <w:color w:val="000000"/>
        </w:rPr>
        <w:t>nilai</w:t>
      </w:r>
      <w:proofErr w:type="spellEnd"/>
      <w:r w:rsidRPr="00E20E49">
        <w:rPr>
          <w:color w:val="000000"/>
        </w:rPr>
        <w:t xml:space="preserve"> abnormal </w:t>
      </w:r>
      <w:proofErr w:type="spellStart"/>
      <w:r w:rsidRPr="00E20E49">
        <w:rPr>
          <w:color w:val="000000"/>
        </w:rPr>
        <w:t>jika</w:t>
      </w:r>
      <w:proofErr w:type="spellEnd"/>
      <w:r w:rsidRPr="00E20E49">
        <w:rPr>
          <w:color w:val="000000"/>
        </w:rPr>
        <w:t xml:space="preserve"> </w:t>
      </w:r>
      <w:proofErr w:type="spellStart"/>
      <w:r w:rsidRPr="00E20E49">
        <w:rPr>
          <w:color w:val="000000"/>
        </w:rPr>
        <w:t>melebihi</w:t>
      </w:r>
      <w:proofErr w:type="spellEnd"/>
      <w:r w:rsidRPr="00E20E49">
        <w:rPr>
          <w:color w:val="000000"/>
        </w:rPr>
        <w:t xml:space="preserve"> </w:t>
      </w:r>
      <w:proofErr w:type="spellStart"/>
      <w:r w:rsidRPr="00E20E49">
        <w:rPr>
          <w:color w:val="000000"/>
        </w:rPr>
        <w:t>atau</w:t>
      </w:r>
      <w:proofErr w:type="spellEnd"/>
      <w:r w:rsidRPr="00E20E49">
        <w:rPr>
          <w:color w:val="000000"/>
        </w:rPr>
        <w:t xml:space="preserve"> </w:t>
      </w:r>
      <w:proofErr w:type="spellStart"/>
      <w:r w:rsidRPr="00E20E49">
        <w:rPr>
          <w:color w:val="000000"/>
        </w:rPr>
        <w:t>lebih</w:t>
      </w:r>
      <w:proofErr w:type="spellEnd"/>
      <w:r w:rsidRPr="00E20E49">
        <w:rPr>
          <w:color w:val="000000"/>
        </w:rPr>
        <w:t xml:space="preserve"> </w:t>
      </w:r>
      <w:proofErr w:type="spellStart"/>
      <w:r w:rsidRPr="00E20E49">
        <w:rPr>
          <w:color w:val="000000"/>
        </w:rPr>
        <w:t>rendah</w:t>
      </w:r>
      <w:proofErr w:type="spellEnd"/>
      <w:r w:rsidRPr="00E20E49">
        <w:rPr>
          <w:color w:val="000000"/>
        </w:rPr>
        <w:t xml:space="preserve"> </w:t>
      </w:r>
      <w:proofErr w:type="spellStart"/>
      <w:r w:rsidRPr="00E20E49">
        <w:rPr>
          <w:color w:val="000000"/>
        </w:rPr>
        <w:t>dari</w:t>
      </w:r>
      <w:proofErr w:type="spellEnd"/>
      <w:r w:rsidRPr="00E20E49">
        <w:rPr>
          <w:color w:val="000000"/>
        </w:rPr>
        <w:t xml:space="preserve"> </w:t>
      </w:r>
      <w:proofErr w:type="spellStart"/>
      <w:r w:rsidRPr="00E20E49">
        <w:rPr>
          <w:color w:val="000000"/>
        </w:rPr>
        <w:t>nilai</w:t>
      </w:r>
      <w:proofErr w:type="spellEnd"/>
      <w:r w:rsidRPr="00E20E49">
        <w:rPr>
          <w:color w:val="000000"/>
        </w:rPr>
        <w:t xml:space="preserve"> </w:t>
      </w:r>
      <w:proofErr w:type="spellStart"/>
      <w:proofErr w:type="gramStart"/>
      <w:r w:rsidRPr="00E20E49">
        <w:rPr>
          <w:color w:val="000000"/>
        </w:rPr>
        <w:t>rentang</w:t>
      </w:r>
      <w:proofErr w:type="spellEnd"/>
      <w:r w:rsidRPr="00E20E49">
        <w:rPr>
          <w:color w:val="000000"/>
        </w:rPr>
        <w:t xml:space="preserve">  normal</w:t>
      </w:r>
      <w:proofErr w:type="gramEnd"/>
      <w:r w:rsidRPr="00E20E49">
        <w:rPr>
          <w:color w:val="000000"/>
        </w:rPr>
        <w:t xml:space="preserve">. </w:t>
      </w:r>
      <w:proofErr w:type="spellStart"/>
      <w:r w:rsidRPr="00E20E49">
        <w:rPr>
          <w:color w:val="000000"/>
        </w:rPr>
        <w:t>Rasio</w:t>
      </w:r>
      <w:proofErr w:type="spellEnd"/>
      <w:r w:rsidRPr="00E20E49">
        <w:rPr>
          <w:color w:val="000000"/>
        </w:rPr>
        <w:t xml:space="preserve"> </w:t>
      </w:r>
      <w:proofErr w:type="spellStart"/>
      <w:r w:rsidRPr="00E20E49">
        <w:rPr>
          <w:color w:val="000000"/>
        </w:rPr>
        <w:t>netrofil</w:t>
      </w:r>
      <w:proofErr w:type="spellEnd"/>
      <w:r w:rsidRPr="00E20E49">
        <w:rPr>
          <w:color w:val="000000"/>
        </w:rPr>
        <w:t xml:space="preserve"> </w:t>
      </w:r>
      <w:proofErr w:type="spellStart"/>
      <w:r w:rsidRPr="00E20E49">
        <w:rPr>
          <w:color w:val="000000"/>
        </w:rPr>
        <w:t>limfosit</w:t>
      </w:r>
      <w:proofErr w:type="spellEnd"/>
      <w:r w:rsidRPr="00E20E49">
        <w:rPr>
          <w:color w:val="000000"/>
        </w:rPr>
        <w:t xml:space="preserve"> </w:t>
      </w:r>
      <w:r w:rsidR="00824717">
        <w:rPr>
          <w:color w:val="000000"/>
        </w:rPr>
        <w:t xml:space="preserve">(NLR) </w:t>
      </w:r>
      <w:r w:rsidRPr="00E20E49">
        <w:rPr>
          <w:color w:val="000000"/>
        </w:rPr>
        <w:t xml:space="preserve">dan </w:t>
      </w:r>
      <w:proofErr w:type="spellStart"/>
      <w:r w:rsidRPr="00E20E49">
        <w:rPr>
          <w:color w:val="000000"/>
        </w:rPr>
        <w:t>rasio</w:t>
      </w:r>
      <w:proofErr w:type="spellEnd"/>
      <w:r w:rsidRPr="00E20E49">
        <w:rPr>
          <w:color w:val="000000"/>
        </w:rPr>
        <w:t xml:space="preserve"> </w:t>
      </w:r>
      <w:proofErr w:type="spellStart"/>
      <w:r w:rsidRPr="00E20E49">
        <w:rPr>
          <w:color w:val="000000"/>
        </w:rPr>
        <w:t>trombosit</w:t>
      </w:r>
      <w:proofErr w:type="spellEnd"/>
      <w:r w:rsidRPr="00E20E49">
        <w:rPr>
          <w:color w:val="000000"/>
        </w:rPr>
        <w:t xml:space="preserve"> </w:t>
      </w:r>
      <w:proofErr w:type="spellStart"/>
      <w:r w:rsidRPr="00E20E49">
        <w:rPr>
          <w:color w:val="000000"/>
        </w:rPr>
        <w:t>limfosit</w:t>
      </w:r>
      <w:proofErr w:type="spellEnd"/>
      <w:r w:rsidRPr="00E20E49">
        <w:rPr>
          <w:color w:val="000000"/>
        </w:rPr>
        <w:t xml:space="preserve"> </w:t>
      </w:r>
      <w:r w:rsidR="00824717">
        <w:rPr>
          <w:color w:val="000000"/>
        </w:rPr>
        <w:t xml:space="preserve">(PLR) </w:t>
      </w:r>
      <w:proofErr w:type="spellStart"/>
      <w:r w:rsidR="00E20E49">
        <w:rPr>
          <w:color w:val="000000"/>
        </w:rPr>
        <w:t>diukur</w:t>
      </w:r>
      <w:proofErr w:type="spellEnd"/>
      <w:r w:rsidR="00D80EF2">
        <w:rPr>
          <w:color w:val="000000"/>
        </w:rPr>
        <w:t xml:space="preserve"> </w:t>
      </w:r>
      <w:proofErr w:type="spellStart"/>
      <w:r w:rsidR="00D80EF2">
        <w:rPr>
          <w:color w:val="000000"/>
        </w:rPr>
        <w:t>dengan</w:t>
      </w:r>
      <w:proofErr w:type="spellEnd"/>
      <w:r w:rsidR="00D80EF2">
        <w:rPr>
          <w:color w:val="000000"/>
        </w:rPr>
        <w:t xml:space="preserve"> </w:t>
      </w:r>
      <w:proofErr w:type="spellStart"/>
      <w:r w:rsidR="00D80EF2">
        <w:rPr>
          <w:color w:val="000000"/>
        </w:rPr>
        <w:t>pembagian</w:t>
      </w:r>
      <w:proofErr w:type="spellEnd"/>
      <w:r w:rsidR="00D80EF2">
        <w:rPr>
          <w:color w:val="000000"/>
        </w:rPr>
        <w:t xml:space="preserve"> </w:t>
      </w:r>
      <w:proofErr w:type="spellStart"/>
      <w:r w:rsidR="00D80EF2">
        <w:rPr>
          <w:color w:val="000000"/>
        </w:rPr>
        <w:t>nilai</w:t>
      </w:r>
      <w:proofErr w:type="spellEnd"/>
      <w:r w:rsidR="00D80EF2">
        <w:rPr>
          <w:color w:val="000000"/>
        </w:rPr>
        <w:t xml:space="preserve"> </w:t>
      </w:r>
      <w:proofErr w:type="spellStart"/>
      <w:r w:rsidR="00D80EF2">
        <w:rPr>
          <w:color w:val="000000"/>
        </w:rPr>
        <w:t>netrofil</w:t>
      </w:r>
      <w:proofErr w:type="spellEnd"/>
      <w:r w:rsidR="00D80EF2">
        <w:rPr>
          <w:color w:val="000000"/>
        </w:rPr>
        <w:t xml:space="preserve"> dan </w:t>
      </w:r>
      <w:proofErr w:type="spellStart"/>
      <w:r w:rsidR="00D80EF2">
        <w:rPr>
          <w:color w:val="000000"/>
        </w:rPr>
        <w:t>trombosit</w:t>
      </w:r>
      <w:proofErr w:type="spellEnd"/>
      <w:r w:rsidR="00D80EF2">
        <w:rPr>
          <w:color w:val="000000"/>
        </w:rPr>
        <w:t xml:space="preserve"> </w:t>
      </w:r>
      <w:proofErr w:type="spellStart"/>
      <w:r w:rsidR="00D80EF2">
        <w:rPr>
          <w:color w:val="000000"/>
        </w:rPr>
        <w:t>dengan</w:t>
      </w:r>
      <w:proofErr w:type="spellEnd"/>
      <w:r w:rsidR="00D80EF2">
        <w:rPr>
          <w:color w:val="000000"/>
        </w:rPr>
        <w:t xml:space="preserve"> </w:t>
      </w:r>
      <w:proofErr w:type="spellStart"/>
      <w:r w:rsidR="00D80EF2">
        <w:rPr>
          <w:color w:val="000000"/>
        </w:rPr>
        <w:t>hitung</w:t>
      </w:r>
      <w:proofErr w:type="spellEnd"/>
      <w:r w:rsidR="00D80EF2">
        <w:rPr>
          <w:color w:val="000000"/>
        </w:rPr>
        <w:t xml:space="preserve"> </w:t>
      </w:r>
      <w:proofErr w:type="spellStart"/>
      <w:r w:rsidR="00D80EF2">
        <w:rPr>
          <w:color w:val="000000"/>
        </w:rPr>
        <w:t>limfosit</w:t>
      </w:r>
      <w:proofErr w:type="spellEnd"/>
      <w:r w:rsidR="00D80EF2">
        <w:rPr>
          <w:color w:val="000000"/>
        </w:rPr>
        <w:fldChar w:fldCharType="begin" w:fldLock="1"/>
      </w:r>
      <w:r w:rsidR="002F461E">
        <w:rPr>
          <w:color w:val="000000"/>
        </w:rPr>
        <w:instrText>ADDIN CSL_CITATION {"citationItems":[{"id":"ITEM-1","itemData":{"DOI":"10.1097/CEJ.0000000000000092","ISBN":"0000000000000","ISSN":"14735709","PMID":"25304028","abstract":"Colorectal cancer (CRC) is the third most common cause of cancer-related death in Europe. The aim of the present study was to elucidate the efficiency of the neutrophil/lymphocyte ratio (NLR), the platelet/lymphocyte ratio (PLR), and the mean platelet volume (MPV) as tools for the preoperative diagnosis of CRC and their usefulness in the follow-up of CRC. A total of 144 CRC patients, as diagnosed by colonoscopy, and 143 age-matched and sex-matched healthy participants were included in the study. Medical records were used to compare preoperative and postoperative data including hemoglobin levels, platelet counts, MPV, NLR, and PLR. NLR, PLR, and MPV were significantly higher in CRC patients preoperatively, compared with healthy participants. Receiver-operating characteristic curve analysis suggested 2.02 as the cutoff value for NLR [area under the curve (AUC): 0.921, sensitivity: 86%, specificity: 84%], 135 as the cutoff value for PLR, (AUC: 0.853, sensitivity: 70%, specificity: 90%) and 8.25 fl as the cutoff value for MPV (AUC: 0.717, sensitivity: 54%, specificity: 76%). Subgroup analysis showed that NLR, PLR, and MPV levels were also significantly higher in nonanemic CRC patients compared with the control group, which is of great theoretical and clinical value for the early detection of CRC. Surgical tumor resection resulted in a significant decrease in NLR, PLR, and MPV. Our results suggest that NLR, PLR, and MPV may be used as easily available additional biomarkers for CRC in screening the general population, as well as in postoperative follow-up.","author":[{"dropping-particle":"","family":"Kilincalp","given":"Serta","non-dropping-particle":"","parse-names":false,"suffix":""},{"dropping-particle":"","family":"Çoban","given":"Şahin","non-dropping-particle":"","parse-names":false,"suffix":""},{"dropping-particle":"","family":"Akinci","given":"Hakan","non-dropping-particle":"","parse-names":false,"suffix":""},{"dropping-particle":"","family":"Hamamc","given":"Mevlüt","non-dropping-particle":"","parse-names":false,"suffix":""},{"dropping-particle":"","family":"Karaahmet","given":"Fatih","non-dropping-particle":"","parse-names":false,"suffix":""},{"dropping-particle":"","family":"Coşkun","given":"Yusuf","non-dropping-particle":"","parse-names":false,"suffix":""},{"dropping-particle":"","family":"Üstün","given":"Yusuf","non-dropping-particle":"","parse-names":false,"suffix":""},{"dropping-particle":"","family":"Şimşek","given":"Zahide","non-dropping-particle":"","parse-names":false,"suffix":""},{"dropping-particle":"","family":"Erarslan","given":"Elife","non-dropping-particle":"","parse-names":false,"suffix":""},{"dropping-particle":"","family":"Yüksel","given":"Ilhami","non-dropping-particle":"","parse-names":false,"suffix":""}],"container-title":"European Journal of Cancer Prevention","id":"ITEM-1","issue":"4","issued":{"date-parts":[["2015"]]},"page":"328-333","title":"Neutrophil/lymphocyte ratio, platelet/lymphocyte ratio, and mean platelet volume as potential biomarkers for early detection and monitoring of colorectal adenocarcinoma","type":"article-journal","volume":"24"},"uris":["http://www.mendeley.com/documents/?uuid=29f1d1db-60a2-42fc-b73c-ebfcd3c82cd5"]}],"mendeley":{"formattedCitation":"(12)","plainTextFormattedCitation":"(12)","previouslyFormattedCitation":"(Kilincalp &lt;i&gt;et al.&lt;/i&gt;, 2015)"},"properties":{"noteIndex":0},"schema":"https://github.com/citation-style-language/schema/raw/master/csl-citation.json"}</w:instrText>
      </w:r>
      <w:r w:rsidR="00D80EF2">
        <w:rPr>
          <w:color w:val="000000"/>
        </w:rPr>
        <w:fldChar w:fldCharType="separate"/>
      </w:r>
      <w:r w:rsidR="002F461E" w:rsidRPr="002F461E">
        <w:rPr>
          <w:noProof/>
          <w:color w:val="000000"/>
        </w:rPr>
        <w:t>(12)</w:t>
      </w:r>
      <w:r w:rsidR="00D80EF2">
        <w:rPr>
          <w:color w:val="000000"/>
        </w:rPr>
        <w:fldChar w:fldCharType="end"/>
      </w:r>
      <w:r w:rsidR="00D80EF2">
        <w:rPr>
          <w:color w:val="000000"/>
        </w:rPr>
        <w:t xml:space="preserve">. </w:t>
      </w:r>
      <w:r w:rsidR="00824717">
        <w:rPr>
          <w:color w:val="000000"/>
        </w:rPr>
        <w:t xml:space="preserve">Batas NLR </w:t>
      </w:r>
      <w:proofErr w:type="spellStart"/>
      <w:r w:rsidR="00824717">
        <w:rPr>
          <w:color w:val="000000"/>
        </w:rPr>
        <w:t>rendah</w:t>
      </w:r>
      <w:proofErr w:type="spellEnd"/>
      <w:r w:rsidR="00824717">
        <w:rPr>
          <w:color w:val="000000"/>
        </w:rPr>
        <w:t xml:space="preserve"> &lt; 2,7 dan NLR </w:t>
      </w:r>
      <w:proofErr w:type="spellStart"/>
      <w:r w:rsidR="00824717">
        <w:rPr>
          <w:color w:val="000000"/>
        </w:rPr>
        <w:t>tinggi</w:t>
      </w:r>
      <w:proofErr w:type="spellEnd"/>
      <w:r w:rsidR="00824717">
        <w:rPr>
          <w:color w:val="000000"/>
        </w:rPr>
        <w:t xml:space="preserve"> ≥2,7, </w:t>
      </w:r>
      <w:proofErr w:type="spellStart"/>
      <w:r w:rsidR="00824717">
        <w:rPr>
          <w:color w:val="000000"/>
        </w:rPr>
        <w:t>sedangkan</w:t>
      </w:r>
      <w:proofErr w:type="spellEnd"/>
      <w:r w:rsidR="00824717">
        <w:rPr>
          <w:color w:val="000000"/>
        </w:rPr>
        <w:t xml:space="preserve"> </w:t>
      </w:r>
      <w:proofErr w:type="spellStart"/>
      <w:r w:rsidR="00824717">
        <w:rPr>
          <w:color w:val="000000"/>
        </w:rPr>
        <w:t>batas</w:t>
      </w:r>
      <w:proofErr w:type="spellEnd"/>
      <w:r w:rsidR="00824717">
        <w:rPr>
          <w:color w:val="000000"/>
        </w:rPr>
        <w:t xml:space="preserve"> PLR </w:t>
      </w:r>
      <w:proofErr w:type="spellStart"/>
      <w:r w:rsidR="00824717">
        <w:rPr>
          <w:color w:val="000000"/>
        </w:rPr>
        <w:t>rendah</w:t>
      </w:r>
      <w:proofErr w:type="spellEnd"/>
      <w:r w:rsidR="00824717">
        <w:rPr>
          <w:color w:val="000000"/>
        </w:rPr>
        <w:t xml:space="preserve"> &lt;167,2 dan PLR </w:t>
      </w:r>
      <w:proofErr w:type="spellStart"/>
      <w:r w:rsidR="00824717">
        <w:rPr>
          <w:color w:val="000000"/>
        </w:rPr>
        <w:t>tinggi</w:t>
      </w:r>
      <w:proofErr w:type="spellEnd"/>
      <w:r w:rsidR="00824717">
        <w:rPr>
          <w:color w:val="000000"/>
        </w:rPr>
        <w:t xml:space="preserve"> ≥167,2</w:t>
      </w:r>
      <w:r w:rsidR="00824717">
        <w:rPr>
          <w:color w:val="000000"/>
        </w:rPr>
        <w:fldChar w:fldCharType="begin" w:fldLock="1"/>
      </w:r>
      <w:r w:rsidR="002F461E">
        <w:rPr>
          <w:color w:val="000000"/>
        </w:rPr>
        <w:instrText xml:space="preserve">ADDIN CSL_CITATION {"citationItems":[{"id":"ITEM-1","itemData":{"DOI":"10.1002/hed.24224","ISBN":"0000000000","ISSN":"10970347","PMID":"26362911","abstract":"Background Pretreatment hematological markers of inflammatory response have emerged as prognostic factors for patients with cancer. In this study, we evaluated the prognostic significance of various hematologic parameters in patients with nasopharyngeal carcinoma (NPC). Methods Clinical data from 251 patients with NPC were retrospectively collected. Neutrophil counts, lymphocyte counts, platelet counts, neutrophil-lymphocyte ratio (NLR), and platelet-lymphocyte ratio (PLR) were adopted as potential prognostic biomarkers. The Kaplan-Meier method and log-rank test were adopted to calculate and compare </w:instrText>
      </w:r>
      <w:r w:rsidR="002F461E">
        <w:rPr>
          <w:rFonts w:hint="eastAsia"/>
          <w:color w:val="000000"/>
        </w:rPr>
        <w:instrText xml:space="preserve">the progression-free survival (PFS) and overall survival (OS) rates. The Cox proportional hazards model was used to carry out univariate and multivariate analyses. Results NLR </w:instrText>
      </w:r>
      <w:r w:rsidR="002F461E">
        <w:rPr>
          <w:rFonts w:hint="eastAsia"/>
          <w:color w:val="000000"/>
        </w:rPr>
        <w:instrText>≥</w:instrText>
      </w:r>
      <w:r w:rsidR="002F461E">
        <w:rPr>
          <w:rFonts w:hint="eastAsia"/>
          <w:color w:val="000000"/>
        </w:rPr>
        <w:instrText xml:space="preserve">2.7 (hazard ratio [HR] = 2.01; 95% confidence interval [CI] = 1.23-3.29; p =.005) and PLR </w:instrText>
      </w:r>
      <w:r w:rsidR="002F461E">
        <w:rPr>
          <w:rFonts w:hint="eastAsia"/>
          <w:color w:val="000000"/>
        </w:rPr>
        <w:instrText>≥</w:instrText>
      </w:r>
      <w:r w:rsidR="002F461E">
        <w:rPr>
          <w:rFonts w:hint="eastAsia"/>
          <w:color w:val="000000"/>
        </w:rPr>
        <w:instrText xml:space="preserve">167.2 (HR = 2.12; 95% CI = 1.35-3.33; p =.001) were significantly associated with shorter PFS, whereas PLR </w:instrText>
      </w:r>
      <w:r w:rsidR="002F461E">
        <w:rPr>
          <w:rFonts w:hint="eastAsia"/>
          <w:color w:val="000000"/>
        </w:rPr>
        <w:instrText>≥</w:instrText>
      </w:r>
      <w:r w:rsidR="002F461E">
        <w:rPr>
          <w:rFonts w:hint="eastAsia"/>
          <w:color w:val="000000"/>
        </w:rPr>
        <w:instrText>163.4 (HR = 2.64; 95% CI = 1.25-5.60; p =.011) was correlated with poor OS. Conclusion Pretreatment NLR and PLR can be independent pro</w:instrText>
      </w:r>
      <w:r w:rsidR="002F461E">
        <w:rPr>
          <w:color w:val="000000"/>
        </w:rPr>
        <w:instrText>gnostic factors for patients with NPC.","author":[{"dropping-particle":"","family":"Hu","given":"Guoqing","non-dropping-particle":"","parse-names":false,"suffix":""},{"dropping-particle":"","family":"Sun","given":"Wei","non-dropping-particle":"","parse-names":false,"suffix":""},{"dropping-particle":"","family":"Zhang","given":"Linli","non-dropping-particle":"","parse-names":false,"suffix":""},{"dropping-particle":"","family":"Luo","given":"Min","non-dropping-particle":"","parse-names":false,"suffix":""},{"dropping-particle":"","family":"Hu","given":"Guangyuan","non-dropping-particle":"","parse-names":false,"suffix":""},{"dropping-particle":"","family":"Mei","given":"Qi","non-dropping-particle":"","parse-names":false,"suffix":""},{"dropping-particle":"","family":"Liu","given":"Dongbo","non-dropping-particle":"","parse-names":false,"suffix":""},{"dropping-particle":"","family":"Long","given":"Guoxian","non-dropping-particle":"","parse-names":false,"suffix":""}],"container-title":"Head and Neck","id":"ITEM-1","issue":"February","issued":{"date-parts":[["2016"]]},"page":"E1332-E1340","title":"Pretreatment hematologic markers as prognostic factors in patients with nasopharyngeal carcinoma: Neutrophil-lymphocyte ratio and platelet-lymphocyte ratio","type":"article-journal","volume":"38"},"uris":["http://www.mendeley.com/documents/?uuid=5902e7c0-6e3c-40ed-89fc-63668d10076c"]}],"mendeley":{"formattedCitation":"(11)","plainTextFormattedCitation":"(11)","previouslyFormattedCitation":"(Hu &lt;i&gt;et al.&lt;/i&gt;, 2016)"},"properties":{"noteIndex":0},"schema":"https://github.com/citation-style-language/schema/raw/master/csl-citation.json"}</w:instrText>
      </w:r>
      <w:r w:rsidR="00824717">
        <w:rPr>
          <w:color w:val="000000"/>
        </w:rPr>
        <w:fldChar w:fldCharType="separate"/>
      </w:r>
      <w:r w:rsidR="002F461E" w:rsidRPr="002F461E">
        <w:rPr>
          <w:noProof/>
          <w:color w:val="000000"/>
        </w:rPr>
        <w:t>(11)</w:t>
      </w:r>
      <w:r w:rsidR="00824717">
        <w:rPr>
          <w:color w:val="000000"/>
        </w:rPr>
        <w:fldChar w:fldCharType="end"/>
      </w:r>
      <w:r w:rsidR="00824717">
        <w:rPr>
          <w:color w:val="000000"/>
        </w:rPr>
        <w:t xml:space="preserve">. </w:t>
      </w:r>
      <w:r w:rsidRPr="00E20E49">
        <w:rPr>
          <w:color w:val="000000"/>
        </w:rPr>
        <w:t xml:space="preserve">Stadium </w:t>
      </w:r>
      <w:proofErr w:type="spellStart"/>
      <w:r w:rsidRPr="00E20E49">
        <w:rPr>
          <w:color w:val="000000"/>
        </w:rPr>
        <w:t>klinis</w:t>
      </w:r>
      <w:proofErr w:type="spellEnd"/>
      <w:r w:rsidRPr="00E20E49">
        <w:rPr>
          <w:color w:val="000000"/>
        </w:rPr>
        <w:t xml:space="preserve"> </w:t>
      </w:r>
      <w:proofErr w:type="spellStart"/>
      <w:r w:rsidRPr="00E20E49">
        <w:rPr>
          <w:color w:val="000000"/>
        </w:rPr>
        <w:t>ukuran</w:t>
      </w:r>
      <w:proofErr w:type="spellEnd"/>
      <w:r w:rsidRPr="00E20E49">
        <w:rPr>
          <w:color w:val="000000"/>
        </w:rPr>
        <w:t xml:space="preserve"> tumor dan </w:t>
      </w:r>
      <w:proofErr w:type="spellStart"/>
      <w:r w:rsidRPr="00E20E49">
        <w:rPr>
          <w:color w:val="000000"/>
        </w:rPr>
        <w:t>keterlibatan</w:t>
      </w:r>
      <w:proofErr w:type="spellEnd"/>
      <w:r w:rsidRPr="00E20E49">
        <w:rPr>
          <w:color w:val="000000"/>
        </w:rPr>
        <w:t xml:space="preserve"> </w:t>
      </w:r>
      <w:proofErr w:type="spellStart"/>
      <w:r w:rsidRPr="00E20E49">
        <w:rPr>
          <w:color w:val="000000"/>
        </w:rPr>
        <w:t>kelenjar</w:t>
      </w:r>
      <w:proofErr w:type="spellEnd"/>
      <w:r w:rsidRPr="00E20E49">
        <w:rPr>
          <w:color w:val="000000"/>
        </w:rPr>
        <w:t xml:space="preserve"> </w:t>
      </w:r>
      <w:proofErr w:type="spellStart"/>
      <w:r w:rsidRPr="00E20E49">
        <w:rPr>
          <w:color w:val="000000"/>
        </w:rPr>
        <w:t>getah</w:t>
      </w:r>
      <w:proofErr w:type="spellEnd"/>
      <w:r w:rsidRPr="00E20E49">
        <w:rPr>
          <w:color w:val="000000"/>
        </w:rPr>
        <w:t xml:space="preserve"> </w:t>
      </w:r>
      <w:proofErr w:type="spellStart"/>
      <w:r w:rsidRPr="00E20E49">
        <w:rPr>
          <w:color w:val="000000"/>
        </w:rPr>
        <w:t>bening</w:t>
      </w:r>
      <w:proofErr w:type="spellEnd"/>
      <w:r w:rsidRPr="00E20E49">
        <w:rPr>
          <w:color w:val="000000"/>
        </w:rPr>
        <w:t xml:space="preserve"> </w:t>
      </w:r>
      <w:proofErr w:type="spellStart"/>
      <w:r w:rsidRPr="00E20E49">
        <w:rPr>
          <w:color w:val="000000"/>
        </w:rPr>
        <w:t>leher</w:t>
      </w:r>
      <w:proofErr w:type="spellEnd"/>
      <w:r w:rsidRPr="00E20E49">
        <w:rPr>
          <w:color w:val="000000"/>
        </w:rPr>
        <w:t xml:space="preserve"> </w:t>
      </w:r>
      <w:proofErr w:type="spellStart"/>
      <w:r w:rsidRPr="00E20E49">
        <w:rPr>
          <w:color w:val="000000"/>
        </w:rPr>
        <w:t>merujuk</w:t>
      </w:r>
      <w:proofErr w:type="spellEnd"/>
      <w:r w:rsidRPr="00E20E49">
        <w:rPr>
          <w:color w:val="000000"/>
        </w:rPr>
        <w:t xml:space="preserve"> </w:t>
      </w:r>
      <w:proofErr w:type="spellStart"/>
      <w:r w:rsidRPr="00E20E49">
        <w:rPr>
          <w:color w:val="000000"/>
        </w:rPr>
        <w:t>sistem</w:t>
      </w:r>
      <w:proofErr w:type="spellEnd"/>
      <w:r w:rsidRPr="00E20E49">
        <w:rPr>
          <w:color w:val="000000"/>
        </w:rPr>
        <w:t xml:space="preserve"> TNM </w:t>
      </w:r>
      <w:proofErr w:type="spellStart"/>
      <w:r w:rsidRPr="00E20E49">
        <w:rPr>
          <w:color w:val="000000"/>
        </w:rPr>
        <w:t>menurut</w:t>
      </w:r>
      <w:proofErr w:type="spellEnd"/>
      <w:r w:rsidRPr="00E20E49">
        <w:rPr>
          <w:color w:val="000000"/>
        </w:rPr>
        <w:t xml:space="preserve"> AJCC</w:t>
      </w:r>
      <w:r w:rsidR="00E20E49" w:rsidRPr="00E20E49">
        <w:rPr>
          <w:color w:val="000000"/>
        </w:rPr>
        <w:fldChar w:fldCharType="begin" w:fldLock="1"/>
      </w:r>
      <w:r w:rsidR="002F461E">
        <w:rPr>
          <w:color w:val="000000"/>
        </w:rPr>
        <w:instrText>ADDIN CSL_CITATION {"citationItems":[{"id":"ITEM-1","itemData":{"edition":"8","editor":[{"dropping-particle":"","family":"MahuI B. Amin","given":"","non-dropping-particle":"","parse-names":false,"suffix":""}],"id":"ITEM-1","issued":{"date-parts":[["2017"]]},"publisher":"Springer","publisher-place":"Chicago","title":"AJCC Cancer Manual Staging","type":"book"},"uris":["http://www.mendeley.com/documents/?uuid=d14fe076-7bc1-49f6-8e0e-ecc6b84d6909"]}],"mendeley":{"formattedCitation":"(13)","plainTextFormattedCitation":"(13)","previouslyFormattedCitation":"(MahuI B. Amin, 2017)"},"properties":{"noteIndex":0},"schema":"https://github.com/citation-style-language/schema/raw/master/csl-citation.json"}</w:instrText>
      </w:r>
      <w:r w:rsidR="00E20E49" w:rsidRPr="00E20E49">
        <w:rPr>
          <w:color w:val="000000"/>
        </w:rPr>
        <w:fldChar w:fldCharType="separate"/>
      </w:r>
      <w:r w:rsidR="002F461E" w:rsidRPr="002F461E">
        <w:rPr>
          <w:noProof/>
          <w:color w:val="000000"/>
        </w:rPr>
        <w:t>(13)</w:t>
      </w:r>
      <w:r w:rsidR="00E20E49" w:rsidRPr="00E20E49">
        <w:rPr>
          <w:color w:val="000000"/>
        </w:rPr>
        <w:fldChar w:fldCharType="end"/>
      </w:r>
      <w:r w:rsidRPr="00E20E49">
        <w:rPr>
          <w:color w:val="000000"/>
        </w:rPr>
        <w:t xml:space="preserve">, </w:t>
      </w:r>
      <w:proofErr w:type="spellStart"/>
      <w:r w:rsidRPr="00E20E49">
        <w:rPr>
          <w:color w:val="000000"/>
        </w:rPr>
        <w:t>dengan</w:t>
      </w:r>
      <w:proofErr w:type="spellEnd"/>
      <w:r w:rsidRPr="00E20E49">
        <w:rPr>
          <w:color w:val="000000"/>
        </w:rPr>
        <w:t xml:space="preserve"> </w:t>
      </w:r>
      <w:proofErr w:type="spellStart"/>
      <w:r w:rsidRPr="00E20E49">
        <w:rPr>
          <w:color w:val="000000"/>
        </w:rPr>
        <w:t>melihat</w:t>
      </w:r>
      <w:proofErr w:type="spellEnd"/>
      <w:r w:rsidRPr="00E20E49">
        <w:rPr>
          <w:color w:val="000000"/>
        </w:rPr>
        <w:t xml:space="preserve"> </w:t>
      </w:r>
      <w:proofErr w:type="spellStart"/>
      <w:r w:rsidRPr="00E20E49">
        <w:rPr>
          <w:color w:val="000000"/>
        </w:rPr>
        <w:t>hasil</w:t>
      </w:r>
      <w:proofErr w:type="spellEnd"/>
      <w:r w:rsidRPr="00E20E49">
        <w:rPr>
          <w:color w:val="000000"/>
        </w:rPr>
        <w:t xml:space="preserve"> CT Scan </w:t>
      </w:r>
      <w:proofErr w:type="spellStart"/>
      <w:r w:rsidRPr="00E20E49">
        <w:rPr>
          <w:color w:val="000000"/>
        </w:rPr>
        <w:t>berdasarkan</w:t>
      </w:r>
      <w:proofErr w:type="spellEnd"/>
      <w:r w:rsidRPr="00E20E49">
        <w:rPr>
          <w:color w:val="000000"/>
        </w:rPr>
        <w:t xml:space="preserve"> </w:t>
      </w:r>
      <w:r w:rsidR="00D80EF2">
        <w:rPr>
          <w:color w:val="000000"/>
        </w:rPr>
        <w:t xml:space="preserve">data </w:t>
      </w:r>
      <w:proofErr w:type="spellStart"/>
      <w:r w:rsidR="00D80EF2">
        <w:rPr>
          <w:color w:val="000000"/>
        </w:rPr>
        <w:t>dari</w:t>
      </w:r>
      <w:proofErr w:type="spellEnd"/>
      <w:r w:rsidR="00D80EF2">
        <w:rPr>
          <w:color w:val="000000"/>
        </w:rPr>
        <w:t xml:space="preserve"> </w:t>
      </w:r>
      <w:proofErr w:type="spellStart"/>
      <w:r w:rsidR="00D80EF2">
        <w:rPr>
          <w:color w:val="000000"/>
        </w:rPr>
        <w:t>Instalasi</w:t>
      </w:r>
      <w:proofErr w:type="spellEnd"/>
      <w:r w:rsidR="00D80EF2">
        <w:rPr>
          <w:color w:val="000000"/>
        </w:rPr>
        <w:t xml:space="preserve"> Radiologi</w:t>
      </w:r>
      <w:r w:rsidR="00DC1CB5">
        <w:rPr>
          <w:color w:val="000000"/>
        </w:rPr>
        <w:t xml:space="preserve"> </w:t>
      </w:r>
      <w:proofErr w:type="spellStart"/>
      <w:r w:rsidR="00DC1CB5">
        <w:rPr>
          <w:color w:val="000000"/>
        </w:rPr>
        <w:t>dimana</w:t>
      </w:r>
      <w:proofErr w:type="spellEnd"/>
      <w:r w:rsidR="00DC1CB5">
        <w:rPr>
          <w:color w:val="000000"/>
        </w:rPr>
        <w:t xml:space="preserve"> stadium </w:t>
      </w:r>
      <w:proofErr w:type="spellStart"/>
      <w:r w:rsidR="00DC1CB5">
        <w:rPr>
          <w:color w:val="000000"/>
        </w:rPr>
        <w:t>awal</w:t>
      </w:r>
      <w:proofErr w:type="spellEnd"/>
      <w:r w:rsidR="00DC1CB5">
        <w:rPr>
          <w:color w:val="000000"/>
        </w:rPr>
        <w:t xml:space="preserve"> </w:t>
      </w:r>
      <w:proofErr w:type="spellStart"/>
      <w:r w:rsidR="00DC1CB5">
        <w:rPr>
          <w:color w:val="000000"/>
        </w:rPr>
        <w:t>adalah</w:t>
      </w:r>
      <w:proofErr w:type="spellEnd"/>
      <w:r w:rsidR="00DC1CB5">
        <w:rPr>
          <w:color w:val="000000"/>
        </w:rPr>
        <w:t xml:space="preserve"> T1 </w:t>
      </w:r>
      <w:proofErr w:type="spellStart"/>
      <w:r w:rsidR="00DC1CB5">
        <w:rPr>
          <w:color w:val="000000"/>
        </w:rPr>
        <w:t>sedangkan</w:t>
      </w:r>
      <w:proofErr w:type="spellEnd"/>
      <w:r w:rsidR="00DC1CB5">
        <w:rPr>
          <w:color w:val="000000"/>
        </w:rPr>
        <w:t xml:space="preserve"> stadium </w:t>
      </w:r>
      <w:proofErr w:type="spellStart"/>
      <w:r w:rsidR="00DC1CB5">
        <w:rPr>
          <w:color w:val="000000"/>
        </w:rPr>
        <w:t>lanjut</w:t>
      </w:r>
      <w:proofErr w:type="spellEnd"/>
      <w:r w:rsidR="00DC1CB5">
        <w:rPr>
          <w:color w:val="000000"/>
        </w:rPr>
        <w:t xml:space="preserve"> T2 </w:t>
      </w:r>
      <w:proofErr w:type="spellStart"/>
      <w:r w:rsidR="00DC1CB5">
        <w:rPr>
          <w:color w:val="000000"/>
        </w:rPr>
        <w:t>ke</w:t>
      </w:r>
      <w:proofErr w:type="spellEnd"/>
      <w:r w:rsidR="00DC1CB5">
        <w:rPr>
          <w:color w:val="000000"/>
        </w:rPr>
        <w:t xml:space="preserve"> </w:t>
      </w:r>
      <w:proofErr w:type="spellStart"/>
      <w:r w:rsidR="00DC1CB5">
        <w:rPr>
          <w:color w:val="000000"/>
        </w:rPr>
        <w:t>atas</w:t>
      </w:r>
      <w:proofErr w:type="spellEnd"/>
      <w:r w:rsidR="00DC1CB5">
        <w:rPr>
          <w:color w:val="000000"/>
        </w:rPr>
        <w:t xml:space="preserve"> </w:t>
      </w:r>
      <w:proofErr w:type="spellStart"/>
      <w:r w:rsidR="00DC1CB5">
        <w:rPr>
          <w:color w:val="000000"/>
        </w:rPr>
        <w:t>atau</w:t>
      </w:r>
      <w:proofErr w:type="spellEnd"/>
      <w:r w:rsidR="00DC1CB5">
        <w:rPr>
          <w:color w:val="000000"/>
        </w:rPr>
        <w:t xml:space="preserve"> </w:t>
      </w:r>
      <w:proofErr w:type="spellStart"/>
      <w:r w:rsidR="00DC1CB5">
        <w:rPr>
          <w:color w:val="000000"/>
        </w:rPr>
        <w:t>terdapat</w:t>
      </w:r>
      <w:proofErr w:type="spellEnd"/>
      <w:r w:rsidR="00DC1CB5">
        <w:rPr>
          <w:color w:val="000000"/>
        </w:rPr>
        <w:t xml:space="preserve"> </w:t>
      </w:r>
      <w:proofErr w:type="spellStart"/>
      <w:r w:rsidR="00DC1CB5">
        <w:rPr>
          <w:color w:val="000000"/>
        </w:rPr>
        <w:t>keterlibatan</w:t>
      </w:r>
      <w:proofErr w:type="spellEnd"/>
      <w:r w:rsidR="00DC1CB5">
        <w:rPr>
          <w:color w:val="000000"/>
        </w:rPr>
        <w:t xml:space="preserve"> N (</w:t>
      </w:r>
      <w:proofErr w:type="spellStart"/>
      <w:r w:rsidR="00DC1CB5">
        <w:rPr>
          <w:color w:val="000000"/>
        </w:rPr>
        <w:t>kgb</w:t>
      </w:r>
      <w:proofErr w:type="spellEnd"/>
      <w:r w:rsidR="00DC1CB5">
        <w:rPr>
          <w:color w:val="000000"/>
        </w:rPr>
        <w:t xml:space="preserve"> </w:t>
      </w:r>
      <w:proofErr w:type="spellStart"/>
      <w:r w:rsidR="00DC1CB5">
        <w:rPr>
          <w:color w:val="000000"/>
        </w:rPr>
        <w:t>leher</w:t>
      </w:r>
      <w:proofErr w:type="spellEnd"/>
      <w:r w:rsidR="00DC1CB5">
        <w:rPr>
          <w:color w:val="000000"/>
        </w:rPr>
        <w:t>)</w:t>
      </w:r>
      <w:r w:rsidRPr="00E20E49">
        <w:rPr>
          <w:color w:val="000000"/>
        </w:rPr>
        <w:t xml:space="preserve">. </w:t>
      </w:r>
      <w:proofErr w:type="spellStart"/>
      <w:r w:rsidR="00103CA6">
        <w:rPr>
          <w:color w:val="000000"/>
        </w:rPr>
        <w:t>Khusus</w:t>
      </w:r>
      <w:proofErr w:type="spellEnd"/>
      <w:r w:rsidR="00103CA6">
        <w:rPr>
          <w:color w:val="000000"/>
        </w:rPr>
        <w:t xml:space="preserve"> </w:t>
      </w:r>
      <w:proofErr w:type="spellStart"/>
      <w:r w:rsidR="00103CA6">
        <w:rPr>
          <w:color w:val="000000"/>
        </w:rPr>
        <w:t>kejadian</w:t>
      </w:r>
      <w:proofErr w:type="spellEnd"/>
      <w:r w:rsidR="00103CA6">
        <w:rPr>
          <w:color w:val="000000"/>
        </w:rPr>
        <w:t xml:space="preserve"> metastasis </w:t>
      </w:r>
      <w:proofErr w:type="spellStart"/>
      <w:r w:rsidR="00103CA6">
        <w:rPr>
          <w:color w:val="000000"/>
        </w:rPr>
        <w:t>jauh</w:t>
      </w:r>
      <w:proofErr w:type="spellEnd"/>
      <w:r w:rsidR="00103CA6">
        <w:rPr>
          <w:color w:val="000000"/>
        </w:rPr>
        <w:t xml:space="preserve"> </w:t>
      </w:r>
      <w:proofErr w:type="spellStart"/>
      <w:r w:rsidR="00103CA6">
        <w:rPr>
          <w:color w:val="000000"/>
        </w:rPr>
        <w:t>tidak</w:t>
      </w:r>
      <w:proofErr w:type="spellEnd"/>
      <w:r w:rsidR="00103CA6">
        <w:rPr>
          <w:color w:val="000000"/>
        </w:rPr>
        <w:t xml:space="preserve"> </w:t>
      </w:r>
      <w:proofErr w:type="spellStart"/>
      <w:r w:rsidR="00103CA6">
        <w:rPr>
          <w:color w:val="000000"/>
        </w:rPr>
        <w:t>dilakukan</w:t>
      </w:r>
      <w:proofErr w:type="spellEnd"/>
      <w:r w:rsidR="00103CA6">
        <w:rPr>
          <w:color w:val="000000"/>
        </w:rPr>
        <w:t xml:space="preserve"> </w:t>
      </w:r>
      <w:proofErr w:type="spellStart"/>
      <w:r w:rsidR="00103CA6">
        <w:rPr>
          <w:color w:val="000000"/>
        </w:rPr>
        <w:t>karena</w:t>
      </w:r>
      <w:proofErr w:type="spellEnd"/>
      <w:r w:rsidR="00103CA6">
        <w:rPr>
          <w:color w:val="000000"/>
        </w:rPr>
        <w:t xml:space="preserve"> </w:t>
      </w:r>
      <w:proofErr w:type="spellStart"/>
      <w:r w:rsidR="00103CA6">
        <w:rPr>
          <w:color w:val="000000"/>
        </w:rPr>
        <w:t>keterbatasan</w:t>
      </w:r>
      <w:proofErr w:type="spellEnd"/>
      <w:r w:rsidR="00103CA6">
        <w:rPr>
          <w:color w:val="000000"/>
        </w:rPr>
        <w:t xml:space="preserve"> </w:t>
      </w:r>
      <w:proofErr w:type="spellStart"/>
      <w:r w:rsidR="00103CA6">
        <w:rPr>
          <w:color w:val="000000"/>
        </w:rPr>
        <w:t>sarana</w:t>
      </w:r>
      <w:proofErr w:type="spellEnd"/>
      <w:r w:rsidR="00103CA6">
        <w:rPr>
          <w:color w:val="000000"/>
        </w:rPr>
        <w:t xml:space="preserve"> </w:t>
      </w:r>
      <w:proofErr w:type="spellStart"/>
      <w:r w:rsidR="00103CA6">
        <w:rPr>
          <w:color w:val="000000"/>
        </w:rPr>
        <w:t>rumah</w:t>
      </w:r>
      <w:proofErr w:type="spellEnd"/>
      <w:r w:rsidR="00103CA6">
        <w:rPr>
          <w:color w:val="000000"/>
        </w:rPr>
        <w:t xml:space="preserve"> </w:t>
      </w:r>
      <w:proofErr w:type="spellStart"/>
      <w:r w:rsidR="00103CA6">
        <w:rPr>
          <w:color w:val="000000"/>
        </w:rPr>
        <w:t>sakit</w:t>
      </w:r>
      <w:proofErr w:type="spellEnd"/>
      <w:r w:rsidR="00103CA6">
        <w:rPr>
          <w:color w:val="000000"/>
        </w:rPr>
        <w:t xml:space="preserve">. </w:t>
      </w:r>
      <w:r w:rsidR="00D80EF2">
        <w:rPr>
          <w:color w:val="000000"/>
        </w:rPr>
        <w:t xml:space="preserve">Diagnosis </w:t>
      </w:r>
      <w:proofErr w:type="spellStart"/>
      <w:r w:rsidR="00D80EF2">
        <w:rPr>
          <w:color w:val="000000"/>
        </w:rPr>
        <w:t>pasti</w:t>
      </w:r>
      <w:proofErr w:type="spellEnd"/>
      <w:r w:rsidR="00D80EF2">
        <w:rPr>
          <w:color w:val="000000"/>
        </w:rPr>
        <w:t xml:space="preserve"> dan </w:t>
      </w:r>
      <w:proofErr w:type="spellStart"/>
      <w:r w:rsidR="00D80EF2">
        <w:rPr>
          <w:color w:val="000000"/>
        </w:rPr>
        <w:t>p</w:t>
      </w:r>
      <w:r w:rsidRPr="00E20E49">
        <w:rPr>
          <w:color w:val="000000"/>
        </w:rPr>
        <w:t>enentuan</w:t>
      </w:r>
      <w:proofErr w:type="spellEnd"/>
      <w:r w:rsidRPr="00E20E49">
        <w:rPr>
          <w:color w:val="000000"/>
        </w:rPr>
        <w:t xml:space="preserve"> </w:t>
      </w:r>
      <w:proofErr w:type="spellStart"/>
      <w:r w:rsidRPr="00E20E49">
        <w:rPr>
          <w:color w:val="000000"/>
        </w:rPr>
        <w:t>jenis</w:t>
      </w:r>
      <w:proofErr w:type="spellEnd"/>
      <w:r w:rsidRPr="00E20E49">
        <w:rPr>
          <w:color w:val="000000"/>
        </w:rPr>
        <w:t xml:space="preserve"> </w:t>
      </w:r>
      <w:proofErr w:type="spellStart"/>
      <w:r w:rsidRPr="00E20E49">
        <w:rPr>
          <w:color w:val="000000"/>
        </w:rPr>
        <w:t>sel</w:t>
      </w:r>
      <w:proofErr w:type="spellEnd"/>
      <w:r w:rsidRPr="00E20E49">
        <w:rPr>
          <w:color w:val="000000"/>
        </w:rPr>
        <w:t xml:space="preserve"> </w:t>
      </w:r>
      <w:proofErr w:type="spellStart"/>
      <w:r w:rsidRPr="00E20E49">
        <w:rPr>
          <w:color w:val="000000"/>
        </w:rPr>
        <w:t>kanker</w:t>
      </w:r>
      <w:proofErr w:type="spellEnd"/>
      <w:r w:rsidRPr="00E20E49">
        <w:rPr>
          <w:color w:val="000000"/>
        </w:rPr>
        <w:t xml:space="preserve"> </w:t>
      </w:r>
      <w:proofErr w:type="spellStart"/>
      <w:r w:rsidRPr="00E20E49">
        <w:rPr>
          <w:color w:val="000000"/>
        </w:rPr>
        <w:t>berdasarkan</w:t>
      </w:r>
      <w:proofErr w:type="spellEnd"/>
      <w:r w:rsidRPr="00E20E49">
        <w:rPr>
          <w:color w:val="000000"/>
        </w:rPr>
        <w:t xml:space="preserve"> </w:t>
      </w:r>
      <w:proofErr w:type="spellStart"/>
      <w:r w:rsidRPr="00E20E49">
        <w:rPr>
          <w:color w:val="000000"/>
        </w:rPr>
        <w:t>hasil</w:t>
      </w:r>
      <w:proofErr w:type="spellEnd"/>
      <w:r w:rsidRPr="00E20E49">
        <w:rPr>
          <w:color w:val="000000"/>
        </w:rPr>
        <w:t xml:space="preserve"> </w:t>
      </w:r>
      <w:proofErr w:type="spellStart"/>
      <w:r w:rsidRPr="00E20E49">
        <w:rPr>
          <w:color w:val="000000"/>
        </w:rPr>
        <w:t>pemeriksaan</w:t>
      </w:r>
      <w:proofErr w:type="spellEnd"/>
      <w:r w:rsidRPr="00E20E49">
        <w:rPr>
          <w:color w:val="000000"/>
        </w:rPr>
        <w:t xml:space="preserve"> </w:t>
      </w:r>
      <w:proofErr w:type="spellStart"/>
      <w:r w:rsidRPr="00E20E49">
        <w:rPr>
          <w:color w:val="000000"/>
        </w:rPr>
        <w:t>Patologi</w:t>
      </w:r>
      <w:proofErr w:type="spellEnd"/>
      <w:r w:rsidRPr="00E20E49">
        <w:rPr>
          <w:color w:val="000000"/>
        </w:rPr>
        <w:t xml:space="preserve"> </w:t>
      </w:r>
      <w:proofErr w:type="spellStart"/>
      <w:r w:rsidRPr="00E20E49">
        <w:rPr>
          <w:color w:val="000000"/>
        </w:rPr>
        <w:t>Anatomi</w:t>
      </w:r>
      <w:proofErr w:type="spellEnd"/>
      <w:r w:rsidRPr="00E20E49">
        <w:rPr>
          <w:color w:val="000000"/>
        </w:rPr>
        <w:t xml:space="preserve"> RS PKU Muhammadiyah Gombong. Data </w:t>
      </w:r>
      <w:proofErr w:type="spellStart"/>
      <w:r w:rsidRPr="00E20E49">
        <w:rPr>
          <w:color w:val="000000"/>
        </w:rPr>
        <w:t>kuantitatif</w:t>
      </w:r>
      <w:proofErr w:type="spellEnd"/>
      <w:r w:rsidRPr="00E20E49">
        <w:rPr>
          <w:color w:val="000000"/>
        </w:rPr>
        <w:t xml:space="preserve"> </w:t>
      </w:r>
      <w:proofErr w:type="spellStart"/>
      <w:r w:rsidRPr="00E20E49">
        <w:rPr>
          <w:color w:val="000000"/>
        </w:rPr>
        <w:t>hematologi</w:t>
      </w:r>
      <w:proofErr w:type="spellEnd"/>
      <w:r w:rsidRPr="00E20E49">
        <w:rPr>
          <w:color w:val="000000"/>
        </w:rPr>
        <w:t xml:space="preserve"> </w:t>
      </w:r>
      <w:proofErr w:type="spellStart"/>
      <w:r w:rsidRPr="00E20E49">
        <w:rPr>
          <w:color w:val="000000"/>
        </w:rPr>
        <w:t>rutin</w:t>
      </w:r>
      <w:proofErr w:type="spellEnd"/>
      <w:r w:rsidRPr="00E20E49">
        <w:rPr>
          <w:color w:val="000000"/>
        </w:rPr>
        <w:t xml:space="preserve"> </w:t>
      </w:r>
      <w:proofErr w:type="spellStart"/>
      <w:r w:rsidR="00415D7F">
        <w:rPr>
          <w:color w:val="000000"/>
        </w:rPr>
        <w:t>serta</w:t>
      </w:r>
      <w:proofErr w:type="spellEnd"/>
      <w:r w:rsidR="00415D7F">
        <w:rPr>
          <w:color w:val="000000"/>
        </w:rPr>
        <w:t xml:space="preserve"> stadium TNM</w:t>
      </w:r>
      <w:r w:rsidR="00D80EF2">
        <w:rPr>
          <w:color w:val="000000"/>
        </w:rPr>
        <w:t xml:space="preserve"> </w:t>
      </w:r>
      <w:proofErr w:type="spellStart"/>
      <w:r w:rsidRPr="00E20E49">
        <w:rPr>
          <w:color w:val="000000"/>
        </w:rPr>
        <w:t>dikumpulkan</w:t>
      </w:r>
      <w:proofErr w:type="spellEnd"/>
      <w:r w:rsidRPr="00E20E49">
        <w:rPr>
          <w:color w:val="000000"/>
        </w:rPr>
        <w:t xml:space="preserve"> </w:t>
      </w:r>
      <w:r w:rsidR="00415D7F">
        <w:rPr>
          <w:color w:val="000000"/>
        </w:rPr>
        <w:t xml:space="preserve">dan </w:t>
      </w:r>
      <w:proofErr w:type="spellStart"/>
      <w:r w:rsidR="00415D7F">
        <w:rPr>
          <w:color w:val="000000"/>
        </w:rPr>
        <w:t>disajikan</w:t>
      </w:r>
      <w:proofErr w:type="spellEnd"/>
      <w:r w:rsidR="00415D7F">
        <w:rPr>
          <w:color w:val="000000"/>
        </w:rPr>
        <w:t xml:space="preserve"> </w:t>
      </w:r>
      <w:proofErr w:type="spellStart"/>
      <w:r w:rsidRPr="00E20E49">
        <w:rPr>
          <w:color w:val="000000"/>
        </w:rPr>
        <w:t>dalam</w:t>
      </w:r>
      <w:proofErr w:type="spellEnd"/>
      <w:r w:rsidRPr="00E20E49">
        <w:rPr>
          <w:color w:val="000000"/>
        </w:rPr>
        <w:t xml:space="preserve"> </w:t>
      </w:r>
      <w:proofErr w:type="spellStart"/>
      <w:r w:rsidR="00D80EF2">
        <w:rPr>
          <w:color w:val="000000"/>
        </w:rPr>
        <w:t>tab</w:t>
      </w:r>
      <w:r w:rsidR="00415D7F">
        <w:rPr>
          <w:color w:val="000000"/>
        </w:rPr>
        <w:t>el</w:t>
      </w:r>
      <w:proofErr w:type="spellEnd"/>
      <w:r w:rsidR="00D80EF2">
        <w:rPr>
          <w:color w:val="000000"/>
        </w:rPr>
        <w:t>.</w:t>
      </w:r>
      <w:r w:rsidRPr="00E20E49">
        <w:rPr>
          <w:color w:val="000000"/>
        </w:rPr>
        <w:t xml:space="preserve"> Penelitian </w:t>
      </w:r>
      <w:proofErr w:type="spellStart"/>
      <w:r w:rsidRPr="00E20E49">
        <w:rPr>
          <w:color w:val="000000"/>
        </w:rPr>
        <w:t>ini</w:t>
      </w:r>
      <w:proofErr w:type="spellEnd"/>
      <w:r w:rsidRPr="00E20E49">
        <w:rPr>
          <w:color w:val="000000"/>
        </w:rPr>
        <w:t xml:space="preserve"> </w:t>
      </w:r>
      <w:proofErr w:type="spellStart"/>
      <w:r w:rsidRPr="00E20E49">
        <w:rPr>
          <w:color w:val="000000"/>
        </w:rPr>
        <w:t>melalui</w:t>
      </w:r>
      <w:proofErr w:type="spellEnd"/>
      <w:r w:rsidRPr="00E20E49">
        <w:rPr>
          <w:color w:val="000000"/>
        </w:rPr>
        <w:t xml:space="preserve"> uji </w:t>
      </w:r>
      <w:proofErr w:type="spellStart"/>
      <w:r w:rsidRPr="00E20E49">
        <w:rPr>
          <w:color w:val="000000"/>
        </w:rPr>
        <w:t>etik</w:t>
      </w:r>
      <w:proofErr w:type="spellEnd"/>
      <w:r w:rsidRPr="00E20E49">
        <w:rPr>
          <w:color w:val="000000"/>
        </w:rPr>
        <w:t xml:space="preserve"> </w:t>
      </w:r>
      <w:proofErr w:type="spellStart"/>
      <w:r w:rsidRPr="00E20E49">
        <w:rPr>
          <w:color w:val="000000"/>
        </w:rPr>
        <w:t>dari</w:t>
      </w:r>
      <w:proofErr w:type="spellEnd"/>
      <w:r w:rsidRPr="00E20E49">
        <w:rPr>
          <w:color w:val="000000"/>
        </w:rPr>
        <w:t xml:space="preserve"> </w:t>
      </w:r>
      <w:proofErr w:type="spellStart"/>
      <w:r w:rsidRPr="00E20E49">
        <w:rPr>
          <w:color w:val="000000"/>
        </w:rPr>
        <w:t>Komite</w:t>
      </w:r>
      <w:proofErr w:type="spellEnd"/>
      <w:r w:rsidRPr="00E20E49">
        <w:rPr>
          <w:color w:val="000000"/>
        </w:rPr>
        <w:t xml:space="preserve"> </w:t>
      </w:r>
      <w:proofErr w:type="spellStart"/>
      <w:r w:rsidRPr="00E20E49">
        <w:rPr>
          <w:color w:val="000000"/>
        </w:rPr>
        <w:t>Etik</w:t>
      </w:r>
      <w:proofErr w:type="spellEnd"/>
      <w:r w:rsidRPr="00E20E49">
        <w:rPr>
          <w:color w:val="000000"/>
        </w:rPr>
        <w:t xml:space="preserve"> Penelitian Kesehatan (KEPK) FK UMP.</w:t>
      </w:r>
    </w:p>
    <w:p w14:paraId="3D3C61F9" w14:textId="77777777" w:rsidR="00415D7F" w:rsidRDefault="00415D7F" w:rsidP="00E20E49">
      <w:pPr>
        <w:spacing w:line="360" w:lineRule="auto"/>
        <w:jc w:val="both"/>
        <w:rPr>
          <w:rFonts w:ascii="Times New Roman" w:hAnsi="Times New Roman" w:cs="Times New Roman"/>
          <w:b/>
          <w:bCs/>
          <w:sz w:val="24"/>
          <w:szCs w:val="24"/>
        </w:rPr>
      </w:pPr>
    </w:p>
    <w:p w14:paraId="5126EC87" w14:textId="77777777" w:rsidR="00C219FF" w:rsidRDefault="00C219FF" w:rsidP="00E20E49">
      <w:pPr>
        <w:spacing w:line="360" w:lineRule="auto"/>
        <w:jc w:val="both"/>
        <w:rPr>
          <w:rFonts w:ascii="Times New Roman" w:hAnsi="Times New Roman" w:cs="Times New Roman"/>
          <w:b/>
          <w:bCs/>
          <w:sz w:val="24"/>
          <w:szCs w:val="24"/>
        </w:rPr>
      </w:pPr>
    </w:p>
    <w:p w14:paraId="68241231" w14:textId="77777777" w:rsidR="00C219FF" w:rsidRDefault="00C219FF" w:rsidP="00E20E49">
      <w:pPr>
        <w:spacing w:line="360" w:lineRule="auto"/>
        <w:jc w:val="both"/>
        <w:rPr>
          <w:rFonts w:ascii="Times New Roman" w:hAnsi="Times New Roman" w:cs="Times New Roman"/>
          <w:b/>
          <w:bCs/>
          <w:sz w:val="24"/>
          <w:szCs w:val="24"/>
        </w:rPr>
      </w:pPr>
    </w:p>
    <w:p w14:paraId="4870C54E" w14:textId="77777777" w:rsidR="00C219FF" w:rsidRDefault="00C219FF" w:rsidP="00E20E49">
      <w:pPr>
        <w:spacing w:line="360" w:lineRule="auto"/>
        <w:jc w:val="both"/>
        <w:rPr>
          <w:rFonts w:ascii="Times New Roman" w:hAnsi="Times New Roman" w:cs="Times New Roman"/>
          <w:b/>
          <w:bCs/>
          <w:sz w:val="24"/>
          <w:szCs w:val="24"/>
        </w:rPr>
      </w:pPr>
    </w:p>
    <w:p w14:paraId="346CBF69" w14:textId="77777777" w:rsidR="00C219FF" w:rsidRDefault="00C219FF" w:rsidP="00E20E49">
      <w:pPr>
        <w:spacing w:line="360" w:lineRule="auto"/>
        <w:jc w:val="both"/>
        <w:rPr>
          <w:rFonts w:ascii="Times New Roman" w:hAnsi="Times New Roman" w:cs="Times New Roman"/>
          <w:b/>
          <w:bCs/>
          <w:sz w:val="24"/>
          <w:szCs w:val="24"/>
        </w:rPr>
      </w:pPr>
    </w:p>
    <w:p w14:paraId="2220FADF" w14:textId="77777777" w:rsidR="00C219FF" w:rsidRDefault="00C219FF" w:rsidP="00E20E49">
      <w:pPr>
        <w:spacing w:line="360" w:lineRule="auto"/>
        <w:jc w:val="both"/>
        <w:rPr>
          <w:rFonts w:ascii="Times New Roman" w:hAnsi="Times New Roman" w:cs="Times New Roman"/>
          <w:b/>
          <w:bCs/>
          <w:sz w:val="24"/>
          <w:szCs w:val="24"/>
        </w:rPr>
      </w:pPr>
    </w:p>
    <w:p w14:paraId="030360F3" w14:textId="77777777" w:rsidR="00C219FF" w:rsidRDefault="00C219FF" w:rsidP="00E20E49">
      <w:pPr>
        <w:spacing w:line="360" w:lineRule="auto"/>
        <w:jc w:val="both"/>
        <w:rPr>
          <w:rFonts w:ascii="Times New Roman" w:hAnsi="Times New Roman" w:cs="Times New Roman"/>
          <w:b/>
          <w:bCs/>
          <w:sz w:val="24"/>
          <w:szCs w:val="24"/>
        </w:rPr>
      </w:pPr>
    </w:p>
    <w:p w14:paraId="420C4455" w14:textId="77777777" w:rsidR="00C219FF" w:rsidRDefault="00C219FF" w:rsidP="00E20E49">
      <w:pPr>
        <w:spacing w:line="360" w:lineRule="auto"/>
        <w:jc w:val="both"/>
        <w:rPr>
          <w:rFonts w:ascii="Times New Roman" w:hAnsi="Times New Roman" w:cs="Times New Roman"/>
          <w:b/>
          <w:bCs/>
          <w:sz w:val="24"/>
          <w:szCs w:val="24"/>
        </w:rPr>
      </w:pPr>
    </w:p>
    <w:p w14:paraId="4FF661ED" w14:textId="149C415C" w:rsidR="00DF6154" w:rsidRPr="00E20E49" w:rsidRDefault="00DF6154" w:rsidP="00E20E49">
      <w:pPr>
        <w:spacing w:line="360" w:lineRule="auto"/>
        <w:jc w:val="both"/>
        <w:rPr>
          <w:rFonts w:ascii="Times New Roman" w:hAnsi="Times New Roman" w:cs="Times New Roman"/>
          <w:b/>
          <w:bCs/>
          <w:sz w:val="24"/>
          <w:szCs w:val="24"/>
        </w:rPr>
      </w:pPr>
      <w:r w:rsidRPr="00E20E49">
        <w:rPr>
          <w:rFonts w:ascii="Times New Roman" w:hAnsi="Times New Roman" w:cs="Times New Roman"/>
          <w:b/>
          <w:bCs/>
          <w:sz w:val="24"/>
          <w:szCs w:val="24"/>
        </w:rPr>
        <w:lastRenderedPageBreak/>
        <w:t>Hasil</w:t>
      </w:r>
    </w:p>
    <w:p w14:paraId="516E9ED4" w14:textId="6BA639E5" w:rsidR="00A44493" w:rsidRDefault="00A44493" w:rsidP="00A44493">
      <w:pPr>
        <w:pStyle w:val="NormalWeb"/>
        <w:spacing w:line="360" w:lineRule="auto"/>
      </w:pPr>
      <w:proofErr w:type="spellStart"/>
      <w:r>
        <w:t>Karakteristik</w:t>
      </w:r>
      <w:proofErr w:type="spellEnd"/>
      <w:r>
        <w:t xml:space="preserve"> </w:t>
      </w:r>
      <w:proofErr w:type="spellStart"/>
      <w:r>
        <w:t>Pasien</w:t>
      </w:r>
      <w:proofErr w:type="spellEnd"/>
      <w:r>
        <w:t xml:space="preserve"> </w:t>
      </w:r>
      <w:proofErr w:type="spellStart"/>
      <w:r>
        <w:t>Kanker</w:t>
      </w:r>
      <w:proofErr w:type="spellEnd"/>
      <w:r>
        <w:t xml:space="preserve"> </w:t>
      </w:r>
      <w:proofErr w:type="spellStart"/>
      <w:r>
        <w:t>Nasofaring</w:t>
      </w:r>
      <w:proofErr w:type="spellEnd"/>
      <w: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543"/>
        <w:gridCol w:w="1276"/>
      </w:tblGrid>
      <w:tr w:rsidR="00B5468B" w14:paraId="3F975C3C" w14:textId="77777777" w:rsidTr="0048738B">
        <w:tc>
          <w:tcPr>
            <w:tcW w:w="5670" w:type="dxa"/>
            <w:gridSpan w:val="2"/>
            <w:tcBorders>
              <w:top w:val="single" w:sz="4" w:space="0" w:color="auto"/>
              <w:bottom w:val="single" w:sz="4" w:space="0" w:color="auto"/>
            </w:tcBorders>
          </w:tcPr>
          <w:p w14:paraId="17695CCE" w14:textId="4837B6DA" w:rsidR="00B5468B" w:rsidRDefault="00B5468B" w:rsidP="00A44493">
            <w:pPr>
              <w:pStyle w:val="NormalWeb"/>
              <w:spacing w:line="360" w:lineRule="auto"/>
            </w:pPr>
            <w:proofErr w:type="spellStart"/>
            <w:r>
              <w:t>Variabel</w:t>
            </w:r>
            <w:proofErr w:type="spellEnd"/>
          </w:p>
        </w:tc>
        <w:tc>
          <w:tcPr>
            <w:tcW w:w="1276" w:type="dxa"/>
            <w:tcBorders>
              <w:top w:val="single" w:sz="4" w:space="0" w:color="auto"/>
              <w:bottom w:val="single" w:sz="4" w:space="0" w:color="auto"/>
            </w:tcBorders>
          </w:tcPr>
          <w:p w14:paraId="4019F9F7" w14:textId="6D5855AD" w:rsidR="00B5468B" w:rsidRDefault="00B5468B" w:rsidP="00A44493">
            <w:pPr>
              <w:pStyle w:val="NormalWeb"/>
              <w:spacing w:line="360" w:lineRule="auto"/>
            </w:pPr>
            <w:proofErr w:type="spellStart"/>
            <w:r>
              <w:t>Presentase</w:t>
            </w:r>
            <w:proofErr w:type="spellEnd"/>
          </w:p>
        </w:tc>
      </w:tr>
      <w:tr w:rsidR="0063544F" w14:paraId="0F63FC80" w14:textId="77777777" w:rsidTr="0048738B">
        <w:tc>
          <w:tcPr>
            <w:tcW w:w="2127" w:type="dxa"/>
            <w:vMerge w:val="restart"/>
            <w:tcBorders>
              <w:top w:val="single" w:sz="4" w:space="0" w:color="auto"/>
            </w:tcBorders>
          </w:tcPr>
          <w:p w14:paraId="2CBA4C08" w14:textId="5920A0AA" w:rsidR="0063544F" w:rsidRDefault="0063544F" w:rsidP="00B5468B">
            <w:pPr>
              <w:pStyle w:val="NormalWeb"/>
            </w:pPr>
            <w:proofErr w:type="spellStart"/>
            <w:r>
              <w:t>Jenis</w:t>
            </w:r>
            <w:proofErr w:type="spellEnd"/>
            <w:r>
              <w:t xml:space="preserve"> </w:t>
            </w:r>
            <w:proofErr w:type="spellStart"/>
            <w:r>
              <w:t>Kelamin</w:t>
            </w:r>
            <w:proofErr w:type="spellEnd"/>
          </w:p>
        </w:tc>
        <w:tc>
          <w:tcPr>
            <w:tcW w:w="3543" w:type="dxa"/>
            <w:tcBorders>
              <w:top w:val="single" w:sz="4" w:space="0" w:color="auto"/>
            </w:tcBorders>
          </w:tcPr>
          <w:p w14:paraId="02038768" w14:textId="77777777" w:rsidR="0063544F" w:rsidRDefault="0063544F" w:rsidP="00B5468B">
            <w:pPr>
              <w:pStyle w:val="NormalWeb"/>
            </w:pPr>
          </w:p>
        </w:tc>
        <w:tc>
          <w:tcPr>
            <w:tcW w:w="1276" w:type="dxa"/>
            <w:tcBorders>
              <w:top w:val="single" w:sz="4" w:space="0" w:color="auto"/>
            </w:tcBorders>
          </w:tcPr>
          <w:p w14:paraId="5C6E529B" w14:textId="77777777" w:rsidR="0063544F" w:rsidRDefault="0063544F" w:rsidP="00B5468B">
            <w:pPr>
              <w:pStyle w:val="NormalWeb"/>
            </w:pPr>
          </w:p>
        </w:tc>
      </w:tr>
      <w:tr w:rsidR="0063544F" w14:paraId="37F6DC6A" w14:textId="77777777" w:rsidTr="0048738B">
        <w:tc>
          <w:tcPr>
            <w:tcW w:w="2127" w:type="dxa"/>
            <w:vMerge/>
          </w:tcPr>
          <w:p w14:paraId="09DA6C1B" w14:textId="77777777" w:rsidR="0063544F" w:rsidRDefault="0063544F" w:rsidP="00B5468B">
            <w:pPr>
              <w:pStyle w:val="NormalWeb"/>
            </w:pPr>
          </w:p>
        </w:tc>
        <w:tc>
          <w:tcPr>
            <w:tcW w:w="3543" w:type="dxa"/>
          </w:tcPr>
          <w:p w14:paraId="1B7204BA" w14:textId="4BFCF00C" w:rsidR="0063544F" w:rsidRDefault="0063544F" w:rsidP="00B5468B">
            <w:pPr>
              <w:pStyle w:val="NormalWeb"/>
            </w:pPr>
            <w:proofErr w:type="spellStart"/>
            <w:r>
              <w:t>Laki-laki</w:t>
            </w:r>
            <w:proofErr w:type="spellEnd"/>
          </w:p>
        </w:tc>
        <w:tc>
          <w:tcPr>
            <w:tcW w:w="1276" w:type="dxa"/>
          </w:tcPr>
          <w:p w14:paraId="002C20E7" w14:textId="581B3F9F" w:rsidR="0063544F" w:rsidRDefault="0063544F" w:rsidP="00B5468B">
            <w:pPr>
              <w:pStyle w:val="NormalWeb"/>
            </w:pPr>
            <w:r>
              <w:rPr>
                <w:lang w:val="en-US"/>
              </w:rPr>
              <w:t>63</w:t>
            </w:r>
          </w:p>
        </w:tc>
      </w:tr>
      <w:tr w:rsidR="0063544F" w14:paraId="7812E0D7" w14:textId="77777777" w:rsidTr="0048738B">
        <w:tc>
          <w:tcPr>
            <w:tcW w:w="2127" w:type="dxa"/>
            <w:vMerge/>
            <w:tcBorders>
              <w:bottom w:val="single" w:sz="4" w:space="0" w:color="auto"/>
            </w:tcBorders>
          </w:tcPr>
          <w:p w14:paraId="1472A594" w14:textId="77777777" w:rsidR="0063544F" w:rsidRDefault="0063544F" w:rsidP="00B5468B">
            <w:pPr>
              <w:pStyle w:val="NormalWeb"/>
            </w:pPr>
          </w:p>
        </w:tc>
        <w:tc>
          <w:tcPr>
            <w:tcW w:w="3543" w:type="dxa"/>
            <w:tcBorders>
              <w:bottom w:val="single" w:sz="4" w:space="0" w:color="auto"/>
            </w:tcBorders>
          </w:tcPr>
          <w:p w14:paraId="0D46E32E" w14:textId="233E6186" w:rsidR="0063544F" w:rsidRDefault="0063544F" w:rsidP="00B5468B">
            <w:pPr>
              <w:pStyle w:val="NormalWeb"/>
            </w:pPr>
            <w:r>
              <w:t>Perempuan</w:t>
            </w:r>
          </w:p>
        </w:tc>
        <w:tc>
          <w:tcPr>
            <w:tcW w:w="1276" w:type="dxa"/>
            <w:tcBorders>
              <w:bottom w:val="single" w:sz="4" w:space="0" w:color="auto"/>
            </w:tcBorders>
          </w:tcPr>
          <w:p w14:paraId="738608F7" w14:textId="39B601E5" w:rsidR="0063544F" w:rsidRDefault="0063544F" w:rsidP="00B5468B">
            <w:pPr>
              <w:pStyle w:val="NormalWeb"/>
            </w:pPr>
            <w:r>
              <w:rPr>
                <w:lang w:val="en-US"/>
              </w:rPr>
              <w:t>37</w:t>
            </w:r>
          </w:p>
        </w:tc>
      </w:tr>
      <w:tr w:rsidR="0063544F" w14:paraId="3EAA4D4D" w14:textId="77777777" w:rsidTr="0048738B">
        <w:tc>
          <w:tcPr>
            <w:tcW w:w="2127" w:type="dxa"/>
            <w:vMerge w:val="restart"/>
            <w:tcBorders>
              <w:top w:val="single" w:sz="4" w:space="0" w:color="auto"/>
            </w:tcBorders>
          </w:tcPr>
          <w:p w14:paraId="074894B7" w14:textId="56091D91" w:rsidR="0063544F" w:rsidRDefault="0063544F" w:rsidP="00B5468B">
            <w:pPr>
              <w:pStyle w:val="NormalWeb"/>
            </w:pPr>
            <w:proofErr w:type="spellStart"/>
            <w:r>
              <w:t>Usia</w:t>
            </w:r>
            <w:proofErr w:type="spellEnd"/>
          </w:p>
        </w:tc>
        <w:tc>
          <w:tcPr>
            <w:tcW w:w="3543" w:type="dxa"/>
            <w:tcBorders>
              <w:top w:val="single" w:sz="4" w:space="0" w:color="auto"/>
            </w:tcBorders>
          </w:tcPr>
          <w:p w14:paraId="067DE6A8" w14:textId="77777777" w:rsidR="0063544F" w:rsidRDefault="0063544F" w:rsidP="00B5468B">
            <w:pPr>
              <w:pStyle w:val="NormalWeb"/>
            </w:pPr>
          </w:p>
        </w:tc>
        <w:tc>
          <w:tcPr>
            <w:tcW w:w="1276" w:type="dxa"/>
            <w:tcBorders>
              <w:top w:val="single" w:sz="4" w:space="0" w:color="auto"/>
            </w:tcBorders>
          </w:tcPr>
          <w:p w14:paraId="27067B06" w14:textId="77777777" w:rsidR="0063544F" w:rsidRDefault="0063544F" w:rsidP="00B5468B">
            <w:pPr>
              <w:pStyle w:val="NormalWeb"/>
            </w:pPr>
          </w:p>
        </w:tc>
      </w:tr>
      <w:tr w:rsidR="0063544F" w14:paraId="108960E3" w14:textId="77777777" w:rsidTr="0048738B">
        <w:tc>
          <w:tcPr>
            <w:tcW w:w="2127" w:type="dxa"/>
            <w:vMerge/>
          </w:tcPr>
          <w:p w14:paraId="26645EB0" w14:textId="77777777" w:rsidR="0063544F" w:rsidRDefault="0063544F" w:rsidP="00B5468B">
            <w:pPr>
              <w:pStyle w:val="NormalWeb"/>
            </w:pPr>
          </w:p>
        </w:tc>
        <w:tc>
          <w:tcPr>
            <w:tcW w:w="3543" w:type="dxa"/>
          </w:tcPr>
          <w:p w14:paraId="73914600" w14:textId="5BC54C60" w:rsidR="0063544F" w:rsidRDefault="0063544F" w:rsidP="00B5468B">
            <w:pPr>
              <w:pStyle w:val="NormalWeb"/>
            </w:pPr>
            <w:r>
              <w:rPr>
                <w:lang w:val="en-US"/>
              </w:rPr>
              <w:t>&lt; 25</w:t>
            </w:r>
          </w:p>
        </w:tc>
        <w:tc>
          <w:tcPr>
            <w:tcW w:w="1276" w:type="dxa"/>
          </w:tcPr>
          <w:p w14:paraId="27375374" w14:textId="3DA5DE58" w:rsidR="0063544F" w:rsidRDefault="0063544F" w:rsidP="00B5468B">
            <w:pPr>
              <w:pStyle w:val="NormalWeb"/>
            </w:pPr>
            <w:r>
              <w:rPr>
                <w:lang w:val="en-US"/>
              </w:rPr>
              <w:t>22,2</w:t>
            </w:r>
          </w:p>
        </w:tc>
      </w:tr>
      <w:tr w:rsidR="0063544F" w14:paraId="129997D3" w14:textId="77777777" w:rsidTr="0048738B">
        <w:tc>
          <w:tcPr>
            <w:tcW w:w="2127" w:type="dxa"/>
            <w:vMerge/>
          </w:tcPr>
          <w:p w14:paraId="01568C7B" w14:textId="77777777" w:rsidR="0063544F" w:rsidRDefault="0063544F" w:rsidP="00B5468B">
            <w:pPr>
              <w:pStyle w:val="NormalWeb"/>
            </w:pPr>
          </w:p>
        </w:tc>
        <w:tc>
          <w:tcPr>
            <w:tcW w:w="3543" w:type="dxa"/>
          </w:tcPr>
          <w:p w14:paraId="7057FE02" w14:textId="3B0FF56A" w:rsidR="0063544F" w:rsidRDefault="0063544F" w:rsidP="00B5468B">
            <w:pPr>
              <w:pStyle w:val="NormalWeb"/>
            </w:pPr>
            <w:r>
              <w:rPr>
                <w:lang w:val="en-US"/>
              </w:rPr>
              <w:t>26-45</w:t>
            </w:r>
          </w:p>
        </w:tc>
        <w:tc>
          <w:tcPr>
            <w:tcW w:w="1276" w:type="dxa"/>
          </w:tcPr>
          <w:p w14:paraId="7AB87CD3" w14:textId="1B53EA9B" w:rsidR="0063544F" w:rsidRDefault="0063544F" w:rsidP="00B5468B">
            <w:pPr>
              <w:pStyle w:val="NormalWeb"/>
            </w:pPr>
            <w:r>
              <w:rPr>
                <w:lang w:val="en-US"/>
              </w:rPr>
              <w:t>14,8</w:t>
            </w:r>
          </w:p>
        </w:tc>
      </w:tr>
      <w:tr w:rsidR="0063544F" w14:paraId="641D88F7" w14:textId="77777777" w:rsidTr="0048738B">
        <w:tc>
          <w:tcPr>
            <w:tcW w:w="2127" w:type="dxa"/>
            <w:vMerge/>
          </w:tcPr>
          <w:p w14:paraId="29624628" w14:textId="77777777" w:rsidR="0063544F" w:rsidRDefault="0063544F" w:rsidP="00B5468B">
            <w:pPr>
              <w:pStyle w:val="NormalWeb"/>
            </w:pPr>
          </w:p>
        </w:tc>
        <w:tc>
          <w:tcPr>
            <w:tcW w:w="3543" w:type="dxa"/>
          </w:tcPr>
          <w:p w14:paraId="3A2A3177" w14:textId="6E46A49E" w:rsidR="0063544F" w:rsidRDefault="0063544F" w:rsidP="00B5468B">
            <w:pPr>
              <w:pStyle w:val="NormalWeb"/>
            </w:pPr>
            <w:r>
              <w:rPr>
                <w:lang w:val="en-US"/>
              </w:rPr>
              <w:t>46-65</w:t>
            </w:r>
          </w:p>
        </w:tc>
        <w:tc>
          <w:tcPr>
            <w:tcW w:w="1276" w:type="dxa"/>
          </w:tcPr>
          <w:p w14:paraId="7FB88043" w14:textId="4DE7B794" w:rsidR="0063544F" w:rsidRDefault="0063544F" w:rsidP="00B5468B">
            <w:pPr>
              <w:pStyle w:val="NormalWeb"/>
            </w:pPr>
            <w:r>
              <w:rPr>
                <w:lang w:val="en-US"/>
              </w:rPr>
              <w:t>48,1</w:t>
            </w:r>
          </w:p>
        </w:tc>
      </w:tr>
      <w:tr w:rsidR="0063544F" w14:paraId="4D8C8D5A" w14:textId="77777777" w:rsidTr="0048738B">
        <w:tc>
          <w:tcPr>
            <w:tcW w:w="2127" w:type="dxa"/>
            <w:vMerge/>
            <w:tcBorders>
              <w:bottom w:val="single" w:sz="4" w:space="0" w:color="auto"/>
            </w:tcBorders>
          </w:tcPr>
          <w:p w14:paraId="428E1397" w14:textId="77777777" w:rsidR="0063544F" w:rsidRDefault="0063544F" w:rsidP="00B5468B">
            <w:pPr>
              <w:pStyle w:val="NormalWeb"/>
            </w:pPr>
          </w:p>
        </w:tc>
        <w:tc>
          <w:tcPr>
            <w:tcW w:w="3543" w:type="dxa"/>
            <w:tcBorders>
              <w:bottom w:val="single" w:sz="4" w:space="0" w:color="auto"/>
            </w:tcBorders>
          </w:tcPr>
          <w:p w14:paraId="5F9268BC" w14:textId="2417A724" w:rsidR="0063544F" w:rsidRDefault="0063544F" w:rsidP="00B5468B">
            <w:pPr>
              <w:pStyle w:val="NormalWeb"/>
              <w:rPr>
                <w:lang w:val="en-US"/>
              </w:rPr>
            </w:pPr>
            <w:r>
              <w:rPr>
                <w:lang w:val="en-US"/>
              </w:rPr>
              <w:t>&gt;65</w:t>
            </w:r>
          </w:p>
        </w:tc>
        <w:tc>
          <w:tcPr>
            <w:tcW w:w="1276" w:type="dxa"/>
            <w:tcBorders>
              <w:bottom w:val="single" w:sz="4" w:space="0" w:color="auto"/>
            </w:tcBorders>
          </w:tcPr>
          <w:p w14:paraId="0EC8EF2F" w14:textId="3644F72B" w:rsidR="0063544F" w:rsidRDefault="0063544F" w:rsidP="00B5468B">
            <w:pPr>
              <w:pStyle w:val="NormalWeb"/>
            </w:pPr>
            <w:r>
              <w:rPr>
                <w:lang w:val="en-US"/>
              </w:rPr>
              <w:t>22,2</w:t>
            </w:r>
          </w:p>
        </w:tc>
      </w:tr>
      <w:tr w:rsidR="0063544F" w14:paraId="5512B456" w14:textId="77777777" w:rsidTr="0048738B">
        <w:tc>
          <w:tcPr>
            <w:tcW w:w="2127" w:type="dxa"/>
            <w:vMerge w:val="restart"/>
            <w:tcBorders>
              <w:top w:val="single" w:sz="4" w:space="0" w:color="auto"/>
            </w:tcBorders>
          </w:tcPr>
          <w:p w14:paraId="12C68A84" w14:textId="3C30C1EE" w:rsidR="0063544F" w:rsidRDefault="0063544F" w:rsidP="00B5468B">
            <w:pPr>
              <w:pStyle w:val="NormalWeb"/>
            </w:pPr>
            <w:r>
              <w:t>Stadium T</w:t>
            </w:r>
          </w:p>
        </w:tc>
        <w:tc>
          <w:tcPr>
            <w:tcW w:w="3543" w:type="dxa"/>
            <w:tcBorders>
              <w:top w:val="single" w:sz="4" w:space="0" w:color="auto"/>
            </w:tcBorders>
          </w:tcPr>
          <w:p w14:paraId="65BCA179" w14:textId="77777777" w:rsidR="0063544F" w:rsidRDefault="0063544F" w:rsidP="00B5468B">
            <w:pPr>
              <w:pStyle w:val="NormalWeb"/>
              <w:rPr>
                <w:lang w:val="en-US"/>
              </w:rPr>
            </w:pPr>
          </w:p>
        </w:tc>
        <w:tc>
          <w:tcPr>
            <w:tcW w:w="1276" w:type="dxa"/>
            <w:tcBorders>
              <w:top w:val="single" w:sz="4" w:space="0" w:color="auto"/>
            </w:tcBorders>
          </w:tcPr>
          <w:p w14:paraId="108B8FA7" w14:textId="77777777" w:rsidR="0063544F" w:rsidRDefault="0063544F" w:rsidP="00B5468B">
            <w:pPr>
              <w:pStyle w:val="NormalWeb"/>
              <w:rPr>
                <w:lang w:val="en-US"/>
              </w:rPr>
            </w:pPr>
          </w:p>
        </w:tc>
      </w:tr>
      <w:tr w:rsidR="0063544F" w14:paraId="2B6C344A" w14:textId="77777777" w:rsidTr="0048738B">
        <w:tc>
          <w:tcPr>
            <w:tcW w:w="2127" w:type="dxa"/>
            <w:vMerge/>
          </w:tcPr>
          <w:p w14:paraId="248F7DB4" w14:textId="77777777" w:rsidR="0063544F" w:rsidRDefault="0063544F" w:rsidP="00B5468B">
            <w:pPr>
              <w:pStyle w:val="NormalWeb"/>
            </w:pPr>
          </w:p>
        </w:tc>
        <w:tc>
          <w:tcPr>
            <w:tcW w:w="3543" w:type="dxa"/>
          </w:tcPr>
          <w:p w14:paraId="2FD615CB" w14:textId="46BE41CE" w:rsidR="0063544F" w:rsidRDefault="0063544F" w:rsidP="00B5468B">
            <w:pPr>
              <w:pStyle w:val="NormalWeb"/>
              <w:rPr>
                <w:lang w:val="en-US"/>
              </w:rPr>
            </w:pPr>
            <w:r>
              <w:rPr>
                <w:lang w:val="en-US"/>
              </w:rPr>
              <w:t>Awal (T1)</w:t>
            </w:r>
          </w:p>
        </w:tc>
        <w:tc>
          <w:tcPr>
            <w:tcW w:w="1276" w:type="dxa"/>
          </w:tcPr>
          <w:p w14:paraId="430ED773" w14:textId="4D81635C" w:rsidR="0063544F" w:rsidRDefault="0063544F" w:rsidP="00B5468B">
            <w:pPr>
              <w:pStyle w:val="NormalWeb"/>
              <w:rPr>
                <w:lang w:val="en-US"/>
              </w:rPr>
            </w:pPr>
            <w:r>
              <w:rPr>
                <w:lang w:val="en-US"/>
              </w:rPr>
              <w:t>40,7</w:t>
            </w:r>
          </w:p>
        </w:tc>
      </w:tr>
      <w:tr w:rsidR="0063544F" w14:paraId="16B3EE69" w14:textId="77777777" w:rsidTr="0048738B">
        <w:tc>
          <w:tcPr>
            <w:tcW w:w="2127" w:type="dxa"/>
            <w:vMerge/>
            <w:tcBorders>
              <w:bottom w:val="single" w:sz="4" w:space="0" w:color="auto"/>
            </w:tcBorders>
          </w:tcPr>
          <w:p w14:paraId="3EA63AF5" w14:textId="77777777" w:rsidR="0063544F" w:rsidRDefault="0063544F" w:rsidP="00B5468B">
            <w:pPr>
              <w:pStyle w:val="NormalWeb"/>
            </w:pPr>
          </w:p>
        </w:tc>
        <w:tc>
          <w:tcPr>
            <w:tcW w:w="3543" w:type="dxa"/>
            <w:tcBorders>
              <w:bottom w:val="single" w:sz="4" w:space="0" w:color="auto"/>
            </w:tcBorders>
          </w:tcPr>
          <w:p w14:paraId="0A30A9BD" w14:textId="4245B10F" w:rsidR="0063544F" w:rsidRDefault="0063544F" w:rsidP="00B5468B">
            <w:pPr>
              <w:pStyle w:val="NormalWeb"/>
              <w:rPr>
                <w:lang w:val="en-US"/>
              </w:rPr>
            </w:pPr>
            <w:proofErr w:type="spellStart"/>
            <w:r>
              <w:rPr>
                <w:lang w:val="en-US"/>
              </w:rPr>
              <w:t>Lanjut</w:t>
            </w:r>
            <w:proofErr w:type="spellEnd"/>
            <w:r>
              <w:rPr>
                <w:lang w:val="en-US"/>
              </w:rPr>
              <w:t xml:space="preserve"> (T2-T4)</w:t>
            </w:r>
          </w:p>
        </w:tc>
        <w:tc>
          <w:tcPr>
            <w:tcW w:w="1276" w:type="dxa"/>
            <w:tcBorders>
              <w:bottom w:val="single" w:sz="4" w:space="0" w:color="auto"/>
            </w:tcBorders>
          </w:tcPr>
          <w:p w14:paraId="07EC7E3F" w14:textId="374C60E6" w:rsidR="0063544F" w:rsidRDefault="0063544F" w:rsidP="00B5468B">
            <w:pPr>
              <w:pStyle w:val="NormalWeb"/>
              <w:rPr>
                <w:lang w:val="en-US"/>
              </w:rPr>
            </w:pPr>
            <w:r>
              <w:rPr>
                <w:lang w:val="en-US"/>
              </w:rPr>
              <w:t>59,3</w:t>
            </w:r>
          </w:p>
        </w:tc>
      </w:tr>
      <w:tr w:rsidR="0063544F" w14:paraId="6BB3E7A9" w14:textId="77777777" w:rsidTr="0048738B">
        <w:tc>
          <w:tcPr>
            <w:tcW w:w="2127" w:type="dxa"/>
            <w:vMerge w:val="restart"/>
            <w:tcBorders>
              <w:top w:val="single" w:sz="4" w:space="0" w:color="auto"/>
            </w:tcBorders>
          </w:tcPr>
          <w:p w14:paraId="6C727638" w14:textId="77777777" w:rsidR="0063544F" w:rsidRDefault="0063544F" w:rsidP="00B5468B">
            <w:pPr>
              <w:pStyle w:val="NormalWeb"/>
            </w:pPr>
            <w:r>
              <w:t>Stadium N</w:t>
            </w:r>
          </w:p>
          <w:p w14:paraId="058A7F3A" w14:textId="7E2E377E" w:rsidR="00DC1CB5" w:rsidRDefault="00DC1CB5" w:rsidP="00B5468B">
            <w:pPr>
              <w:pStyle w:val="NormalWeb"/>
            </w:pPr>
          </w:p>
        </w:tc>
        <w:tc>
          <w:tcPr>
            <w:tcW w:w="3543" w:type="dxa"/>
            <w:tcBorders>
              <w:top w:val="single" w:sz="4" w:space="0" w:color="auto"/>
            </w:tcBorders>
          </w:tcPr>
          <w:p w14:paraId="2D3F8261" w14:textId="06A66B50" w:rsidR="0063544F" w:rsidRDefault="0063544F" w:rsidP="00B5468B">
            <w:pPr>
              <w:pStyle w:val="NormalWeb"/>
              <w:rPr>
                <w:lang w:val="en-US"/>
              </w:rPr>
            </w:pPr>
          </w:p>
        </w:tc>
        <w:tc>
          <w:tcPr>
            <w:tcW w:w="1276" w:type="dxa"/>
            <w:tcBorders>
              <w:top w:val="single" w:sz="4" w:space="0" w:color="auto"/>
            </w:tcBorders>
          </w:tcPr>
          <w:p w14:paraId="78799772" w14:textId="77777777" w:rsidR="0063544F" w:rsidRDefault="0063544F" w:rsidP="00B5468B">
            <w:pPr>
              <w:pStyle w:val="NormalWeb"/>
              <w:rPr>
                <w:lang w:val="en-US"/>
              </w:rPr>
            </w:pPr>
          </w:p>
        </w:tc>
      </w:tr>
      <w:tr w:rsidR="0063544F" w14:paraId="4686700B" w14:textId="77777777" w:rsidTr="0048738B">
        <w:tc>
          <w:tcPr>
            <w:tcW w:w="2127" w:type="dxa"/>
            <w:vMerge/>
          </w:tcPr>
          <w:p w14:paraId="21215658" w14:textId="77777777" w:rsidR="0063544F" w:rsidRDefault="0063544F" w:rsidP="00B5468B">
            <w:pPr>
              <w:pStyle w:val="NormalWeb"/>
            </w:pPr>
          </w:p>
        </w:tc>
        <w:tc>
          <w:tcPr>
            <w:tcW w:w="3543" w:type="dxa"/>
          </w:tcPr>
          <w:p w14:paraId="16FA2A97" w14:textId="15A6F253" w:rsidR="0063544F" w:rsidRDefault="0063544F" w:rsidP="00B5468B">
            <w:pPr>
              <w:pStyle w:val="NormalWeb"/>
              <w:rPr>
                <w:lang w:val="en-US"/>
              </w:rPr>
            </w:pPr>
            <w:r>
              <w:rPr>
                <w:lang w:val="en-US"/>
              </w:rPr>
              <w:t xml:space="preserve">N </w:t>
            </w:r>
            <w:proofErr w:type="spellStart"/>
            <w:r>
              <w:rPr>
                <w:lang w:val="en-US"/>
              </w:rPr>
              <w:t>negatif</w:t>
            </w:r>
            <w:proofErr w:type="spellEnd"/>
          </w:p>
        </w:tc>
        <w:tc>
          <w:tcPr>
            <w:tcW w:w="1276" w:type="dxa"/>
          </w:tcPr>
          <w:p w14:paraId="16409450" w14:textId="2AF4EDF1" w:rsidR="0063544F" w:rsidRDefault="0063544F" w:rsidP="00B5468B">
            <w:pPr>
              <w:pStyle w:val="NormalWeb"/>
              <w:rPr>
                <w:lang w:val="en-US"/>
              </w:rPr>
            </w:pPr>
            <w:r>
              <w:rPr>
                <w:lang w:val="en-US"/>
              </w:rPr>
              <w:t>22,2</w:t>
            </w:r>
          </w:p>
        </w:tc>
      </w:tr>
      <w:tr w:rsidR="0063544F" w14:paraId="78D76A96" w14:textId="77777777" w:rsidTr="00DC1CB5">
        <w:trPr>
          <w:trHeight w:val="372"/>
        </w:trPr>
        <w:tc>
          <w:tcPr>
            <w:tcW w:w="2127" w:type="dxa"/>
            <w:vMerge/>
            <w:tcBorders>
              <w:bottom w:val="single" w:sz="4" w:space="0" w:color="auto"/>
            </w:tcBorders>
          </w:tcPr>
          <w:p w14:paraId="2F9FB0F8" w14:textId="1B4E08A2" w:rsidR="0063544F" w:rsidRDefault="0063544F" w:rsidP="00B5468B">
            <w:pPr>
              <w:pStyle w:val="NormalWeb"/>
            </w:pPr>
          </w:p>
        </w:tc>
        <w:tc>
          <w:tcPr>
            <w:tcW w:w="3543" w:type="dxa"/>
            <w:tcBorders>
              <w:bottom w:val="single" w:sz="4" w:space="0" w:color="auto"/>
            </w:tcBorders>
          </w:tcPr>
          <w:p w14:paraId="1C54F6A2" w14:textId="257FFABB" w:rsidR="0063544F" w:rsidRDefault="0063544F" w:rsidP="00B5468B">
            <w:pPr>
              <w:pStyle w:val="NormalWeb"/>
              <w:rPr>
                <w:lang w:val="en-US"/>
              </w:rPr>
            </w:pPr>
            <w:r>
              <w:rPr>
                <w:lang w:val="en-US"/>
              </w:rPr>
              <w:t xml:space="preserve">N </w:t>
            </w:r>
            <w:proofErr w:type="spellStart"/>
            <w:r>
              <w:rPr>
                <w:lang w:val="en-US"/>
              </w:rPr>
              <w:t>positif</w:t>
            </w:r>
            <w:proofErr w:type="spellEnd"/>
          </w:p>
        </w:tc>
        <w:tc>
          <w:tcPr>
            <w:tcW w:w="1276" w:type="dxa"/>
            <w:tcBorders>
              <w:bottom w:val="single" w:sz="4" w:space="0" w:color="auto"/>
            </w:tcBorders>
          </w:tcPr>
          <w:p w14:paraId="028664D8" w14:textId="22397AD5" w:rsidR="0063544F" w:rsidRDefault="0063544F" w:rsidP="00B5468B">
            <w:pPr>
              <w:pStyle w:val="NormalWeb"/>
              <w:rPr>
                <w:lang w:val="en-US"/>
              </w:rPr>
            </w:pPr>
            <w:r>
              <w:rPr>
                <w:lang w:val="en-US"/>
              </w:rPr>
              <w:t>77,8</w:t>
            </w:r>
          </w:p>
        </w:tc>
      </w:tr>
      <w:tr w:rsidR="00DC1CB5" w14:paraId="42573E2F" w14:textId="77777777" w:rsidTr="004105B5">
        <w:trPr>
          <w:trHeight w:val="243"/>
        </w:trPr>
        <w:tc>
          <w:tcPr>
            <w:tcW w:w="2127" w:type="dxa"/>
            <w:vMerge w:val="restart"/>
            <w:tcBorders>
              <w:top w:val="single" w:sz="4" w:space="0" w:color="auto"/>
            </w:tcBorders>
          </w:tcPr>
          <w:p w14:paraId="3DE78FE0" w14:textId="231D0BC8" w:rsidR="00DC1CB5" w:rsidRDefault="00DC1CB5" w:rsidP="00B5468B">
            <w:pPr>
              <w:pStyle w:val="NormalWeb"/>
            </w:pPr>
            <w:r>
              <w:t xml:space="preserve">Stadium </w:t>
            </w:r>
            <w:proofErr w:type="spellStart"/>
            <w:r w:rsidR="00335923">
              <w:t>Klinis</w:t>
            </w:r>
            <w:proofErr w:type="spellEnd"/>
          </w:p>
        </w:tc>
        <w:tc>
          <w:tcPr>
            <w:tcW w:w="3543" w:type="dxa"/>
            <w:tcBorders>
              <w:top w:val="single" w:sz="4" w:space="0" w:color="auto"/>
              <w:bottom w:val="single" w:sz="4" w:space="0" w:color="auto"/>
            </w:tcBorders>
          </w:tcPr>
          <w:p w14:paraId="778769D3" w14:textId="77777777" w:rsidR="00DC1CB5" w:rsidRDefault="00DC1CB5" w:rsidP="00B5468B">
            <w:pPr>
              <w:pStyle w:val="NormalWeb"/>
              <w:rPr>
                <w:lang w:val="en-US"/>
              </w:rPr>
            </w:pPr>
          </w:p>
        </w:tc>
        <w:tc>
          <w:tcPr>
            <w:tcW w:w="1276" w:type="dxa"/>
            <w:tcBorders>
              <w:top w:val="single" w:sz="4" w:space="0" w:color="auto"/>
              <w:bottom w:val="single" w:sz="4" w:space="0" w:color="auto"/>
            </w:tcBorders>
          </w:tcPr>
          <w:p w14:paraId="20F3C19C" w14:textId="77777777" w:rsidR="00DC1CB5" w:rsidRDefault="00DC1CB5" w:rsidP="00B5468B">
            <w:pPr>
              <w:pStyle w:val="NormalWeb"/>
              <w:rPr>
                <w:lang w:val="en-US"/>
              </w:rPr>
            </w:pPr>
          </w:p>
        </w:tc>
      </w:tr>
      <w:tr w:rsidR="00DC1CB5" w14:paraId="266C9EB2" w14:textId="77777777" w:rsidTr="00F5002F">
        <w:trPr>
          <w:trHeight w:val="162"/>
        </w:trPr>
        <w:tc>
          <w:tcPr>
            <w:tcW w:w="2127" w:type="dxa"/>
            <w:vMerge/>
          </w:tcPr>
          <w:p w14:paraId="771E4FD4" w14:textId="77777777" w:rsidR="00DC1CB5" w:rsidRDefault="00DC1CB5" w:rsidP="00B5468B">
            <w:pPr>
              <w:pStyle w:val="NormalWeb"/>
            </w:pPr>
          </w:p>
        </w:tc>
        <w:tc>
          <w:tcPr>
            <w:tcW w:w="3543" w:type="dxa"/>
            <w:tcBorders>
              <w:top w:val="single" w:sz="4" w:space="0" w:color="auto"/>
              <w:bottom w:val="single" w:sz="4" w:space="0" w:color="auto"/>
            </w:tcBorders>
          </w:tcPr>
          <w:p w14:paraId="60E97824" w14:textId="1948D184" w:rsidR="00DC1CB5" w:rsidRDefault="00DC1CB5" w:rsidP="00B5468B">
            <w:pPr>
              <w:pStyle w:val="NormalWeb"/>
              <w:rPr>
                <w:lang w:val="en-US"/>
              </w:rPr>
            </w:pPr>
            <w:r>
              <w:rPr>
                <w:lang w:val="en-US"/>
              </w:rPr>
              <w:t>Awal</w:t>
            </w:r>
          </w:p>
        </w:tc>
        <w:tc>
          <w:tcPr>
            <w:tcW w:w="1276" w:type="dxa"/>
            <w:tcBorders>
              <w:top w:val="single" w:sz="4" w:space="0" w:color="auto"/>
              <w:bottom w:val="single" w:sz="4" w:space="0" w:color="auto"/>
            </w:tcBorders>
          </w:tcPr>
          <w:p w14:paraId="77B2EE4B" w14:textId="5004F117" w:rsidR="00DC1CB5" w:rsidRDefault="00335923" w:rsidP="00B5468B">
            <w:pPr>
              <w:pStyle w:val="NormalWeb"/>
              <w:rPr>
                <w:lang w:val="en-US"/>
              </w:rPr>
            </w:pPr>
            <w:r>
              <w:rPr>
                <w:lang w:val="en-US"/>
              </w:rPr>
              <w:t>33,3</w:t>
            </w:r>
          </w:p>
        </w:tc>
      </w:tr>
      <w:tr w:rsidR="00DC1CB5" w14:paraId="72B8FC1B" w14:textId="77777777" w:rsidTr="004105B5">
        <w:trPr>
          <w:trHeight w:val="98"/>
        </w:trPr>
        <w:tc>
          <w:tcPr>
            <w:tcW w:w="2127" w:type="dxa"/>
            <w:vMerge/>
            <w:tcBorders>
              <w:bottom w:val="single" w:sz="4" w:space="0" w:color="auto"/>
            </w:tcBorders>
          </w:tcPr>
          <w:p w14:paraId="59665B99" w14:textId="77777777" w:rsidR="00DC1CB5" w:rsidRDefault="00DC1CB5" w:rsidP="00B5468B">
            <w:pPr>
              <w:pStyle w:val="NormalWeb"/>
            </w:pPr>
          </w:p>
        </w:tc>
        <w:tc>
          <w:tcPr>
            <w:tcW w:w="3543" w:type="dxa"/>
            <w:tcBorders>
              <w:top w:val="single" w:sz="4" w:space="0" w:color="auto"/>
              <w:bottom w:val="single" w:sz="4" w:space="0" w:color="auto"/>
            </w:tcBorders>
          </w:tcPr>
          <w:p w14:paraId="46D4D61F" w14:textId="07C449E2" w:rsidR="00DC1CB5" w:rsidRDefault="00DC1CB5" w:rsidP="00B5468B">
            <w:pPr>
              <w:pStyle w:val="NormalWeb"/>
              <w:rPr>
                <w:lang w:val="en-US"/>
              </w:rPr>
            </w:pPr>
            <w:proofErr w:type="spellStart"/>
            <w:r>
              <w:rPr>
                <w:lang w:val="en-US"/>
              </w:rPr>
              <w:t>Lanjut</w:t>
            </w:r>
            <w:proofErr w:type="spellEnd"/>
          </w:p>
        </w:tc>
        <w:tc>
          <w:tcPr>
            <w:tcW w:w="1276" w:type="dxa"/>
            <w:tcBorders>
              <w:top w:val="single" w:sz="4" w:space="0" w:color="auto"/>
              <w:bottom w:val="single" w:sz="4" w:space="0" w:color="auto"/>
            </w:tcBorders>
          </w:tcPr>
          <w:p w14:paraId="6E273F6C" w14:textId="68F6A8DB" w:rsidR="00DC1CB5" w:rsidRDefault="00335923" w:rsidP="00B5468B">
            <w:pPr>
              <w:pStyle w:val="NormalWeb"/>
              <w:rPr>
                <w:lang w:val="en-US"/>
              </w:rPr>
            </w:pPr>
            <w:r>
              <w:rPr>
                <w:lang w:val="en-US"/>
              </w:rPr>
              <w:t>66,7</w:t>
            </w:r>
          </w:p>
        </w:tc>
      </w:tr>
      <w:tr w:rsidR="00A44493" w14:paraId="5E4492C0" w14:textId="77777777" w:rsidTr="0048738B">
        <w:tc>
          <w:tcPr>
            <w:tcW w:w="2127" w:type="dxa"/>
            <w:tcBorders>
              <w:top w:val="single" w:sz="4" w:space="0" w:color="auto"/>
            </w:tcBorders>
          </w:tcPr>
          <w:p w14:paraId="4D4CCDCB" w14:textId="663DC53E" w:rsidR="00A44493" w:rsidRDefault="00B5468B" w:rsidP="00B5468B">
            <w:pPr>
              <w:pStyle w:val="NormalWeb"/>
            </w:pPr>
            <w:proofErr w:type="spellStart"/>
            <w:r>
              <w:t>Tipe</w:t>
            </w:r>
            <w:proofErr w:type="spellEnd"/>
            <w:r>
              <w:t xml:space="preserve"> </w:t>
            </w:r>
            <w:proofErr w:type="spellStart"/>
            <w:r>
              <w:t>Histopatologi</w:t>
            </w:r>
            <w:proofErr w:type="spellEnd"/>
          </w:p>
        </w:tc>
        <w:tc>
          <w:tcPr>
            <w:tcW w:w="3543" w:type="dxa"/>
            <w:tcBorders>
              <w:top w:val="single" w:sz="4" w:space="0" w:color="auto"/>
            </w:tcBorders>
          </w:tcPr>
          <w:p w14:paraId="167FB4EC" w14:textId="77777777" w:rsidR="00A44493" w:rsidRDefault="00A44493" w:rsidP="00B5468B">
            <w:pPr>
              <w:pStyle w:val="NormalWeb"/>
              <w:rPr>
                <w:lang w:val="en-US"/>
              </w:rPr>
            </w:pPr>
          </w:p>
        </w:tc>
        <w:tc>
          <w:tcPr>
            <w:tcW w:w="1276" w:type="dxa"/>
            <w:tcBorders>
              <w:top w:val="single" w:sz="4" w:space="0" w:color="auto"/>
            </w:tcBorders>
          </w:tcPr>
          <w:p w14:paraId="3C4C82D9" w14:textId="77777777" w:rsidR="00A44493" w:rsidRDefault="00A44493" w:rsidP="00B5468B">
            <w:pPr>
              <w:pStyle w:val="NormalWeb"/>
              <w:rPr>
                <w:lang w:val="en-US"/>
              </w:rPr>
            </w:pPr>
          </w:p>
        </w:tc>
      </w:tr>
      <w:tr w:rsidR="00B5468B" w14:paraId="56A841DC" w14:textId="77777777" w:rsidTr="0063544F">
        <w:tc>
          <w:tcPr>
            <w:tcW w:w="2127" w:type="dxa"/>
            <w:tcBorders>
              <w:bottom w:val="single" w:sz="4" w:space="0" w:color="auto"/>
            </w:tcBorders>
          </w:tcPr>
          <w:p w14:paraId="3567F782" w14:textId="77777777" w:rsidR="00B5468B" w:rsidRDefault="00B5468B" w:rsidP="00B5468B">
            <w:pPr>
              <w:pStyle w:val="NormalWeb"/>
            </w:pPr>
          </w:p>
        </w:tc>
        <w:tc>
          <w:tcPr>
            <w:tcW w:w="3543" w:type="dxa"/>
            <w:tcBorders>
              <w:bottom w:val="single" w:sz="4" w:space="0" w:color="auto"/>
            </w:tcBorders>
          </w:tcPr>
          <w:p w14:paraId="708EF444" w14:textId="0D03F59D" w:rsidR="00B5468B" w:rsidRDefault="00B5468B" w:rsidP="00B5468B">
            <w:pPr>
              <w:pStyle w:val="NormalWeb"/>
              <w:rPr>
                <w:lang w:val="en-US"/>
              </w:rPr>
            </w:pPr>
            <w:r>
              <w:rPr>
                <w:lang w:val="en-US"/>
              </w:rPr>
              <w:t>Non keratinizing undifferentiated</w:t>
            </w:r>
          </w:p>
        </w:tc>
        <w:tc>
          <w:tcPr>
            <w:tcW w:w="1276" w:type="dxa"/>
            <w:tcBorders>
              <w:bottom w:val="single" w:sz="4" w:space="0" w:color="auto"/>
            </w:tcBorders>
          </w:tcPr>
          <w:p w14:paraId="373DBDD4" w14:textId="3F71A194" w:rsidR="00B5468B" w:rsidRDefault="00B5468B" w:rsidP="00B5468B">
            <w:pPr>
              <w:pStyle w:val="NormalWeb"/>
              <w:rPr>
                <w:lang w:val="en-US"/>
              </w:rPr>
            </w:pPr>
            <w:r>
              <w:rPr>
                <w:lang w:val="en-US"/>
              </w:rPr>
              <w:t>100</w:t>
            </w:r>
          </w:p>
        </w:tc>
      </w:tr>
      <w:tr w:rsidR="0063544F" w14:paraId="65F1C597" w14:textId="77777777" w:rsidTr="0063544F">
        <w:tc>
          <w:tcPr>
            <w:tcW w:w="2127" w:type="dxa"/>
            <w:vMerge w:val="restart"/>
            <w:tcBorders>
              <w:top w:val="single" w:sz="4" w:space="0" w:color="auto"/>
            </w:tcBorders>
          </w:tcPr>
          <w:p w14:paraId="05C73A91" w14:textId="0B16E8F5" w:rsidR="0063544F" w:rsidRDefault="00782963" w:rsidP="00B5468B">
            <w:pPr>
              <w:pStyle w:val="NormalWeb"/>
            </w:pPr>
            <w:r>
              <w:t>P</w:t>
            </w:r>
            <w:r w:rsidR="0063544F">
              <w:t>LR</w:t>
            </w:r>
          </w:p>
        </w:tc>
        <w:tc>
          <w:tcPr>
            <w:tcW w:w="3543" w:type="dxa"/>
            <w:tcBorders>
              <w:top w:val="single" w:sz="4" w:space="0" w:color="auto"/>
            </w:tcBorders>
          </w:tcPr>
          <w:p w14:paraId="471E88FE" w14:textId="77777777" w:rsidR="0063544F" w:rsidRDefault="0063544F" w:rsidP="00B5468B">
            <w:pPr>
              <w:pStyle w:val="NormalWeb"/>
              <w:rPr>
                <w:lang w:val="en-US"/>
              </w:rPr>
            </w:pPr>
          </w:p>
        </w:tc>
        <w:tc>
          <w:tcPr>
            <w:tcW w:w="1276" w:type="dxa"/>
            <w:tcBorders>
              <w:top w:val="single" w:sz="4" w:space="0" w:color="auto"/>
            </w:tcBorders>
          </w:tcPr>
          <w:p w14:paraId="797A5A94" w14:textId="77777777" w:rsidR="0063544F" w:rsidRDefault="0063544F" w:rsidP="00B5468B">
            <w:pPr>
              <w:pStyle w:val="NormalWeb"/>
              <w:rPr>
                <w:lang w:val="en-US"/>
              </w:rPr>
            </w:pPr>
          </w:p>
        </w:tc>
      </w:tr>
      <w:tr w:rsidR="0063544F" w14:paraId="775EE23F" w14:textId="77777777" w:rsidTr="006D593D">
        <w:tc>
          <w:tcPr>
            <w:tcW w:w="2127" w:type="dxa"/>
            <w:vMerge/>
          </w:tcPr>
          <w:p w14:paraId="54253B68" w14:textId="77777777" w:rsidR="0063544F" w:rsidRDefault="0063544F" w:rsidP="00B5468B">
            <w:pPr>
              <w:pStyle w:val="NormalWeb"/>
            </w:pPr>
          </w:p>
        </w:tc>
        <w:tc>
          <w:tcPr>
            <w:tcW w:w="3543" w:type="dxa"/>
          </w:tcPr>
          <w:p w14:paraId="3364E72A" w14:textId="16C7E85B" w:rsidR="0063544F" w:rsidRDefault="0063544F" w:rsidP="00B5468B">
            <w:pPr>
              <w:pStyle w:val="NormalWeb"/>
              <w:rPr>
                <w:lang w:val="en-US"/>
              </w:rPr>
            </w:pPr>
            <w:r>
              <w:rPr>
                <w:lang w:val="en-US"/>
              </w:rPr>
              <w:t>Tinggi</w:t>
            </w:r>
            <w:r w:rsidR="00607AB7">
              <w:rPr>
                <w:lang w:val="en-US"/>
              </w:rPr>
              <w:t xml:space="preserve"> (</w:t>
            </w:r>
            <w:r w:rsidR="00607AB7">
              <w:rPr>
                <w:color w:val="000000"/>
              </w:rPr>
              <w:t>≥167,2)</w:t>
            </w:r>
          </w:p>
        </w:tc>
        <w:tc>
          <w:tcPr>
            <w:tcW w:w="1276" w:type="dxa"/>
          </w:tcPr>
          <w:p w14:paraId="4104FCB1" w14:textId="6E80EF85" w:rsidR="0063544F" w:rsidRDefault="00607AB7" w:rsidP="00B5468B">
            <w:pPr>
              <w:pStyle w:val="NormalWeb"/>
              <w:rPr>
                <w:lang w:val="en-US"/>
              </w:rPr>
            </w:pPr>
            <w:r>
              <w:rPr>
                <w:lang w:val="en-US"/>
              </w:rPr>
              <w:t>62,9</w:t>
            </w:r>
          </w:p>
        </w:tc>
      </w:tr>
      <w:tr w:rsidR="0063544F" w14:paraId="725F7C02" w14:textId="77777777" w:rsidTr="006D593D">
        <w:trPr>
          <w:trHeight w:val="372"/>
        </w:trPr>
        <w:tc>
          <w:tcPr>
            <w:tcW w:w="2127" w:type="dxa"/>
            <w:vMerge/>
            <w:tcBorders>
              <w:bottom w:val="single" w:sz="4" w:space="0" w:color="auto"/>
            </w:tcBorders>
          </w:tcPr>
          <w:p w14:paraId="50AA6104" w14:textId="13B1D958" w:rsidR="0063544F" w:rsidRDefault="0063544F" w:rsidP="00B5468B">
            <w:pPr>
              <w:pStyle w:val="NormalWeb"/>
            </w:pPr>
          </w:p>
        </w:tc>
        <w:tc>
          <w:tcPr>
            <w:tcW w:w="3543" w:type="dxa"/>
            <w:tcBorders>
              <w:bottom w:val="single" w:sz="4" w:space="0" w:color="auto"/>
            </w:tcBorders>
          </w:tcPr>
          <w:p w14:paraId="3358ACB2" w14:textId="0E29A3A2" w:rsidR="0063544F" w:rsidRDefault="0063544F" w:rsidP="00B5468B">
            <w:pPr>
              <w:pStyle w:val="NormalWeb"/>
              <w:rPr>
                <w:lang w:val="en-US"/>
              </w:rPr>
            </w:pPr>
            <w:proofErr w:type="spellStart"/>
            <w:r>
              <w:rPr>
                <w:lang w:val="en-US"/>
              </w:rPr>
              <w:t>Rendah</w:t>
            </w:r>
            <w:proofErr w:type="spellEnd"/>
            <w:r w:rsidR="00607AB7">
              <w:rPr>
                <w:lang w:val="en-US"/>
              </w:rPr>
              <w:t xml:space="preserve"> (</w:t>
            </w:r>
            <w:r w:rsidR="00607AB7">
              <w:rPr>
                <w:color w:val="000000"/>
              </w:rPr>
              <w:t>&lt;167,2)</w:t>
            </w:r>
          </w:p>
        </w:tc>
        <w:tc>
          <w:tcPr>
            <w:tcW w:w="1276" w:type="dxa"/>
            <w:tcBorders>
              <w:bottom w:val="single" w:sz="4" w:space="0" w:color="auto"/>
            </w:tcBorders>
          </w:tcPr>
          <w:p w14:paraId="6BE60520" w14:textId="5C007D9A" w:rsidR="0063544F" w:rsidRDefault="00607AB7" w:rsidP="00B5468B">
            <w:pPr>
              <w:pStyle w:val="NormalWeb"/>
              <w:rPr>
                <w:lang w:val="en-US"/>
              </w:rPr>
            </w:pPr>
            <w:r>
              <w:rPr>
                <w:lang w:val="en-US"/>
              </w:rPr>
              <w:t>37,1</w:t>
            </w:r>
          </w:p>
        </w:tc>
      </w:tr>
      <w:tr w:rsidR="0063544F" w14:paraId="3E0F2539" w14:textId="77777777" w:rsidTr="006D593D">
        <w:trPr>
          <w:trHeight w:val="575"/>
        </w:trPr>
        <w:tc>
          <w:tcPr>
            <w:tcW w:w="2127" w:type="dxa"/>
            <w:vMerge w:val="restart"/>
            <w:tcBorders>
              <w:top w:val="single" w:sz="4" w:space="0" w:color="auto"/>
            </w:tcBorders>
          </w:tcPr>
          <w:p w14:paraId="457DCD46" w14:textId="77777777" w:rsidR="0063544F" w:rsidRDefault="00782963" w:rsidP="0063544F">
            <w:pPr>
              <w:pStyle w:val="NormalWeb"/>
            </w:pPr>
            <w:r>
              <w:t>N</w:t>
            </w:r>
            <w:r w:rsidR="0063544F">
              <w:t>LR</w:t>
            </w:r>
          </w:p>
          <w:p w14:paraId="639A35DD" w14:textId="0A9306F0" w:rsidR="006D593D" w:rsidRDefault="006D593D" w:rsidP="0063544F">
            <w:pPr>
              <w:pStyle w:val="NormalWeb"/>
            </w:pPr>
          </w:p>
        </w:tc>
        <w:tc>
          <w:tcPr>
            <w:tcW w:w="3543" w:type="dxa"/>
            <w:tcBorders>
              <w:top w:val="single" w:sz="4" w:space="0" w:color="auto"/>
            </w:tcBorders>
          </w:tcPr>
          <w:p w14:paraId="6F3976E4" w14:textId="22B7EB30" w:rsidR="006D593D" w:rsidRDefault="006D593D" w:rsidP="0063544F">
            <w:pPr>
              <w:pStyle w:val="NormalWeb"/>
              <w:spacing w:before="0" w:beforeAutospacing="0" w:after="0" w:afterAutospacing="0"/>
              <w:rPr>
                <w:lang w:val="en-US"/>
              </w:rPr>
            </w:pPr>
          </w:p>
          <w:p w14:paraId="2E114291" w14:textId="45DAA003" w:rsidR="0063544F" w:rsidRDefault="0063544F" w:rsidP="0063544F">
            <w:pPr>
              <w:pStyle w:val="NormalWeb"/>
              <w:spacing w:before="0" w:beforeAutospacing="0" w:after="0" w:afterAutospacing="0"/>
              <w:rPr>
                <w:lang w:val="en-US"/>
              </w:rPr>
            </w:pPr>
            <w:r>
              <w:rPr>
                <w:lang w:val="en-US"/>
              </w:rPr>
              <w:t>Tinggi</w:t>
            </w:r>
            <w:r w:rsidR="00607AB7">
              <w:rPr>
                <w:lang w:val="en-US"/>
              </w:rPr>
              <w:t xml:space="preserve"> (</w:t>
            </w:r>
            <w:r w:rsidR="00607AB7">
              <w:rPr>
                <w:color w:val="000000"/>
              </w:rPr>
              <w:t>≥2,7)</w:t>
            </w:r>
          </w:p>
        </w:tc>
        <w:tc>
          <w:tcPr>
            <w:tcW w:w="1276" w:type="dxa"/>
            <w:tcBorders>
              <w:top w:val="single" w:sz="4" w:space="0" w:color="auto"/>
            </w:tcBorders>
          </w:tcPr>
          <w:p w14:paraId="67338200" w14:textId="04C650A8" w:rsidR="006D593D" w:rsidRDefault="006D593D" w:rsidP="00B5468B">
            <w:pPr>
              <w:pStyle w:val="NormalWeb"/>
              <w:rPr>
                <w:lang w:val="en-US"/>
              </w:rPr>
            </w:pPr>
            <w:r w:rsidRPr="006D593D">
              <w:rPr>
                <w:noProof/>
                <w:lang w:val="en-US"/>
              </w:rPr>
              <mc:AlternateContent>
                <mc:Choice Requires="wps">
                  <w:drawing>
                    <wp:anchor distT="45720" distB="45720" distL="114300" distR="114300" simplePos="0" relativeHeight="251659264" behindDoc="0" locked="0" layoutInCell="1" allowOverlap="1" wp14:anchorId="2F234C44" wp14:editId="3A1B3C1A">
                      <wp:simplePos x="0" y="0"/>
                      <wp:positionH relativeFrom="column">
                        <wp:posOffset>-93788</wp:posOffset>
                      </wp:positionH>
                      <wp:positionV relativeFrom="paragraph">
                        <wp:posOffset>181610</wp:posOffset>
                      </wp:positionV>
                      <wp:extent cx="534256" cy="23630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56" cy="236306"/>
                              </a:xfrm>
                              <a:prstGeom prst="rect">
                                <a:avLst/>
                              </a:prstGeom>
                              <a:noFill/>
                              <a:ln w="9525">
                                <a:noFill/>
                                <a:miter lim="800000"/>
                                <a:headEnd/>
                                <a:tailEnd/>
                              </a:ln>
                            </wps:spPr>
                            <wps:txbx>
                              <w:txbxContent>
                                <w:p w14:paraId="499F1176" w14:textId="06AD4732" w:rsidR="006D593D" w:rsidRDefault="006D593D">
                                  <w:r>
                                    <w:t>70,4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34C44" id="_x0000_t202" coordsize="21600,21600" o:spt="202" path="m,l,21600r21600,l21600,xe">
                      <v:stroke joinstyle="miter"/>
                      <v:path gradientshapeok="t" o:connecttype="rect"/>
                    </v:shapetype>
                    <v:shape id="Text Box 2" o:spid="_x0000_s1026" type="#_x0000_t202" style="position:absolute;margin-left:-7.4pt;margin-top:14.3pt;width:42.05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" filled="f" stroked="f">
                      <v:textbox>
                        <w:txbxContent>
                          <w:p w14:paraId="499F1176" w14:textId="06AD4732" w:rsidR="006D593D" w:rsidRDefault="006D593D">
                            <w:r>
                              <w:t>70,4</w:t>
                            </w:r>
                          </w:p>
                        </w:txbxContent>
                      </v:textbox>
                    </v:shape>
                  </w:pict>
                </mc:Fallback>
              </mc:AlternateContent>
            </w:r>
          </w:p>
        </w:tc>
      </w:tr>
      <w:tr w:rsidR="0063544F" w14:paraId="5C24A335" w14:textId="77777777" w:rsidTr="006D593D">
        <w:trPr>
          <w:trHeight w:val="85"/>
        </w:trPr>
        <w:tc>
          <w:tcPr>
            <w:tcW w:w="2127" w:type="dxa"/>
            <w:vMerge/>
            <w:tcBorders>
              <w:bottom w:val="single" w:sz="4" w:space="0" w:color="auto"/>
            </w:tcBorders>
          </w:tcPr>
          <w:p w14:paraId="5A26FB4E" w14:textId="77777777" w:rsidR="0063544F" w:rsidRDefault="0063544F" w:rsidP="0063544F">
            <w:pPr>
              <w:pStyle w:val="NormalWeb"/>
            </w:pPr>
          </w:p>
        </w:tc>
        <w:tc>
          <w:tcPr>
            <w:tcW w:w="3543" w:type="dxa"/>
            <w:tcBorders>
              <w:bottom w:val="single" w:sz="4" w:space="0" w:color="auto"/>
            </w:tcBorders>
          </w:tcPr>
          <w:p w14:paraId="2483BDF9" w14:textId="51BA86A3" w:rsidR="0063544F" w:rsidRDefault="006D593D" w:rsidP="0063544F">
            <w:pPr>
              <w:pStyle w:val="NormalWeb"/>
              <w:spacing w:before="0" w:after="0"/>
              <w:rPr>
                <w:lang w:val="en-US"/>
              </w:rPr>
            </w:pPr>
            <w:proofErr w:type="spellStart"/>
            <w:r>
              <w:rPr>
                <w:lang w:val="en-US"/>
              </w:rPr>
              <w:t>Rendah</w:t>
            </w:r>
            <w:proofErr w:type="spellEnd"/>
            <w:r>
              <w:rPr>
                <w:lang w:val="en-US"/>
              </w:rPr>
              <w:t xml:space="preserve"> (</w:t>
            </w:r>
            <w:r>
              <w:rPr>
                <w:color w:val="000000"/>
              </w:rPr>
              <w:t>&lt; 2,7)</w:t>
            </w:r>
          </w:p>
        </w:tc>
        <w:tc>
          <w:tcPr>
            <w:tcW w:w="1276" w:type="dxa"/>
            <w:tcBorders>
              <w:bottom w:val="single" w:sz="4" w:space="0" w:color="auto"/>
            </w:tcBorders>
          </w:tcPr>
          <w:p w14:paraId="6D1BBCBD" w14:textId="29726D8D" w:rsidR="0063544F" w:rsidRDefault="006D593D" w:rsidP="00B5468B">
            <w:pPr>
              <w:pStyle w:val="NormalWeb"/>
              <w:rPr>
                <w:lang w:val="en-US"/>
              </w:rPr>
            </w:pPr>
            <w:r>
              <w:rPr>
                <w:lang w:val="en-US"/>
              </w:rPr>
              <w:t>29,6</w:t>
            </w:r>
          </w:p>
        </w:tc>
      </w:tr>
    </w:tbl>
    <w:p w14:paraId="7D964592" w14:textId="2997E5C8" w:rsidR="00C219FF" w:rsidRPr="0063544F" w:rsidRDefault="0063544F" w:rsidP="0063544F">
      <w:pPr>
        <w:spacing w:after="0" w:line="240" w:lineRule="auto"/>
        <w:jc w:val="both"/>
        <w:rPr>
          <w:rFonts w:ascii="Times New Roman" w:hAnsi="Times New Roman" w:cs="Times New Roman"/>
          <w:sz w:val="20"/>
          <w:szCs w:val="20"/>
        </w:rPr>
      </w:pPr>
      <w:proofErr w:type="spellStart"/>
      <w:r w:rsidRPr="0063544F">
        <w:rPr>
          <w:rFonts w:ascii="Times New Roman" w:hAnsi="Times New Roman" w:cs="Times New Roman"/>
          <w:sz w:val="20"/>
          <w:szCs w:val="20"/>
        </w:rPr>
        <w:t>Keterangan</w:t>
      </w:r>
      <w:proofErr w:type="spellEnd"/>
      <w:r w:rsidRPr="0063544F">
        <w:rPr>
          <w:rFonts w:ascii="Times New Roman" w:hAnsi="Times New Roman" w:cs="Times New Roman"/>
          <w:sz w:val="20"/>
          <w:szCs w:val="20"/>
        </w:rPr>
        <w:t>: NLR (</w:t>
      </w:r>
      <w:proofErr w:type="spellStart"/>
      <w:r w:rsidRPr="0063544F">
        <w:rPr>
          <w:rFonts w:ascii="Times New Roman" w:hAnsi="Times New Roman" w:cs="Times New Roman"/>
          <w:sz w:val="20"/>
          <w:szCs w:val="20"/>
        </w:rPr>
        <w:t>rasio</w:t>
      </w:r>
      <w:proofErr w:type="spellEnd"/>
      <w:r w:rsidRPr="0063544F">
        <w:rPr>
          <w:rFonts w:ascii="Times New Roman" w:hAnsi="Times New Roman" w:cs="Times New Roman"/>
          <w:sz w:val="20"/>
          <w:szCs w:val="20"/>
        </w:rPr>
        <w:t xml:space="preserve"> </w:t>
      </w:r>
      <w:proofErr w:type="spellStart"/>
      <w:r w:rsidRPr="0063544F">
        <w:rPr>
          <w:rFonts w:ascii="Times New Roman" w:hAnsi="Times New Roman" w:cs="Times New Roman"/>
          <w:sz w:val="20"/>
          <w:szCs w:val="20"/>
        </w:rPr>
        <w:t>netrofil-limfosit</w:t>
      </w:r>
      <w:proofErr w:type="spellEnd"/>
      <w:r w:rsidRPr="0063544F">
        <w:rPr>
          <w:rFonts w:ascii="Times New Roman" w:hAnsi="Times New Roman" w:cs="Times New Roman"/>
          <w:sz w:val="20"/>
          <w:szCs w:val="20"/>
        </w:rPr>
        <w:t>), PLR (</w:t>
      </w:r>
      <w:proofErr w:type="spellStart"/>
      <w:r w:rsidRPr="0063544F">
        <w:rPr>
          <w:rFonts w:ascii="Times New Roman" w:hAnsi="Times New Roman" w:cs="Times New Roman"/>
          <w:sz w:val="20"/>
          <w:szCs w:val="20"/>
        </w:rPr>
        <w:t>rasio</w:t>
      </w:r>
      <w:proofErr w:type="spellEnd"/>
      <w:r w:rsidRPr="0063544F">
        <w:rPr>
          <w:rFonts w:ascii="Times New Roman" w:hAnsi="Times New Roman" w:cs="Times New Roman"/>
          <w:sz w:val="20"/>
          <w:szCs w:val="20"/>
        </w:rPr>
        <w:t xml:space="preserve"> </w:t>
      </w:r>
      <w:proofErr w:type="spellStart"/>
      <w:r w:rsidRPr="0063544F">
        <w:rPr>
          <w:rFonts w:ascii="Times New Roman" w:hAnsi="Times New Roman" w:cs="Times New Roman"/>
          <w:sz w:val="20"/>
          <w:szCs w:val="20"/>
        </w:rPr>
        <w:t>trombosit-limfosit</w:t>
      </w:r>
      <w:proofErr w:type="spellEnd"/>
      <w:r w:rsidRPr="0063544F">
        <w:rPr>
          <w:rFonts w:ascii="Times New Roman" w:hAnsi="Times New Roman" w:cs="Times New Roman"/>
          <w:sz w:val="20"/>
          <w:szCs w:val="20"/>
        </w:rPr>
        <w:t>), T (</w:t>
      </w:r>
      <w:proofErr w:type="spellStart"/>
      <w:r w:rsidRPr="0063544F">
        <w:rPr>
          <w:rFonts w:ascii="Times New Roman" w:hAnsi="Times New Roman" w:cs="Times New Roman"/>
          <w:sz w:val="20"/>
          <w:szCs w:val="20"/>
        </w:rPr>
        <w:t>ukuran</w:t>
      </w:r>
      <w:proofErr w:type="spellEnd"/>
      <w:r w:rsidRPr="0063544F">
        <w:rPr>
          <w:rFonts w:ascii="Times New Roman" w:hAnsi="Times New Roman" w:cs="Times New Roman"/>
          <w:sz w:val="20"/>
          <w:szCs w:val="20"/>
        </w:rPr>
        <w:t xml:space="preserve"> </w:t>
      </w:r>
      <w:proofErr w:type="spellStart"/>
      <w:r w:rsidRPr="0063544F">
        <w:rPr>
          <w:rFonts w:ascii="Times New Roman" w:hAnsi="Times New Roman" w:cs="Times New Roman"/>
          <w:sz w:val="20"/>
          <w:szCs w:val="20"/>
        </w:rPr>
        <w:t>tumor</w:t>
      </w:r>
      <w:proofErr w:type="spellEnd"/>
      <w:r w:rsidRPr="0063544F">
        <w:rPr>
          <w:rFonts w:ascii="Times New Roman" w:hAnsi="Times New Roman" w:cs="Times New Roman"/>
          <w:sz w:val="20"/>
          <w:szCs w:val="20"/>
        </w:rPr>
        <w:t>), N (</w:t>
      </w:r>
      <w:proofErr w:type="spellStart"/>
      <w:r w:rsidRPr="0063544F">
        <w:rPr>
          <w:rFonts w:ascii="Times New Roman" w:hAnsi="Times New Roman" w:cs="Times New Roman"/>
          <w:sz w:val="20"/>
          <w:szCs w:val="20"/>
        </w:rPr>
        <w:t>keteribatan</w:t>
      </w:r>
      <w:proofErr w:type="spellEnd"/>
      <w:r w:rsidRPr="0063544F">
        <w:rPr>
          <w:rFonts w:ascii="Times New Roman" w:hAnsi="Times New Roman" w:cs="Times New Roman"/>
          <w:sz w:val="20"/>
          <w:szCs w:val="20"/>
        </w:rPr>
        <w:t xml:space="preserve"> </w:t>
      </w:r>
      <w:proofErr w:type="spellStart"/>
      <w:r w:rsidRPr="0063544F">
        <w:rPr>
          <w:rFonts w:ascii="Times New Roman" w:hAnsi="Times New Roman" w:cs="Times New Roman"/>
          <w:sz w:val="20"/>
          <w:szCs w:val="20"/>
        </w:rPr>
        <w:t>kelenjar</w:t>
      </w:r>
      <w:proofErr w:type="spellEnd"/>
      <w:r w:rsidRPr="0063544F">
        <w:rPr>
          <w:rFonts w:ascii="Times New Roman" w:hAnsi="Times New Roman" w:cs="Times New Roman"/>
          <w:sz w:val="20"/>
          <w:szCs w:val="20"/>
        </w:rPr>
        <w:t xml:space="preserve"> </w:t>
      </w:r>
      <w:proofErr w:type="spellStart"/>
      <w:r w:rsidRPr="0063544F">
        <w:rPr>
          <w:rFonts w:ascii="Times New Roman" w:hAnsi="Times New Roman" w:cs="Times New Roman"/>
          <w:sz w:val="20"/>
          <w:szCs w:val="20"/>
        </w:rPr>
        <w:t>getah</w:t>
      </w:r>
      <w:proofErr w:type="spellEnd"/>
      <w:r w:rsidRPr="0063544F">
        <w:rPr>
          <w:rFonts w:ascii="Times New Roman" w:hAnsi="Times New Roman" w:cs="Times New Roman"/>
          <w:sz w:val="20"/>
          <w:szCs w:val="20"/>
        </w:rPr>
        <w:t xml:space="preserve"> </w:t>
      </w:r>
      <w:proofErr w:type="spellStart"/>
      <w:r w:rsidRPr="0063544F">
        <w:rPr>
          <w:rFonts w:ascii="Times New Roman" w:hAnsi="Times New Roman" w:cs="Times New Roman"/>
          <w:sz w:val="20"/>
          <w:szCs w:val="20"/>
        </w:rPr>
        <w:t>bening</w:t>
      </w:r>
      <w:proofErr w:type="spellEnd"/>
      <w:r w:rsidRPr="0063544F">
        <w:rPr>
          <w:rFonts w:ascii="Times New Roman" w:hAnsi="Times New Roman" w:cs="Times New Roman"/>
          <w:sz w:val="20"/>
          <w:szCs w:val="20"/>
        </w:rPr>
        <w:t xml:space="preserve"> </w:t>
      </w:r>
      <w:proofErr w:type="spellStart"/>
      <w:r w:rsidRPr="0063544F">
        <w:rPr>
          <w:rFonts w:ascii="Times New Roman" w:hAnsi="Times New Roman" w:cs="Times New Roman"/>
          <w:sz w:val="20"/>
          <w:szCs w:val="20"/>
        </w:rPr>
        <w:t>leher</w:t>
      </w:r>
      <w:proofErr w:type="spellEnd"/>
      <w:r w:rsidRPr="0063544F">
        <w:rPr>
          <w:rFonts w:ascii="Times New Roman" w:hAnsi="Times New Roman" w:cs="Times New Roman"/>
          <w:sz w:val="20"/>
          <w:szCs w:val="20"/>
        </w:rPr>
        <w:t>)</w:t>
      </w:r>
    </w:p>
    <w:p w14:paraId="6A594CB1" w14:textId="77777777" w:rsidR="0063544F" w:rsidRDefault="0063544F" w:rsidP="00E20E49">
      <w:pPr>
        <w:spacing w:line="360" w:lineRule="auto"/>
        <w:jc w:val="both"/>
        <w:rPr>
          <w:rFonts w:ascii="Times New Roman" w:hAnsi="Times New Roman" w:cs="Times New Roman"/>
          <w:b/>
          <w:bCs/>
          <w:sz w:val="24"/>
          <w:szCs w:val="24"/>
        </w:rPr>
      </w:pPr>
    </w:p>
    <w:p w14:paraId="00EAF3C6" w14:textId="5274EA9C" w:rsidR="00DF6154" w:rsidRPr="00E20E49" w:rsidRDefault="00DF6154" w:rsidP="00E20E49">
      <w:pPr>
        <w:spacing w:line="360" w:lineRule="auto"/>
        <w:jc w:val="both"/>
        <w:rPr>
          <w:rFonts w:ascii="Times New Roman" w:hAnsi="Times New Roman" w:cs="Times New Roman"/>
          <w:b/>
          <w:bCs/>
          <w:sz w:val="24"/>
          <w:szCs w:val="24"/>
        </w:rPr>
      </w:pPr>
      <w:proofErr w:type="spellStart"/>
      <w:r w:rsidRPr="00E20E49">
        <w:rPr>
          <w:rFonts w:ascii="Times New Roman" w:hAnsi="Times New Roman" w:cs="Times New Roman"/>
          <w:b/>
          <w:bCs/>
          <w:sz w:val="24"/>
          <w:szCs w:val="24"/>
        </w:rPr>
        <w:t>Diskusi</w:t>
      </w:r>
      <w:proofErr w:type="spellEnd"/>
    </w:p>
    <w:p w14:paraId="179B6E10" w14:textId="426A5D89" w:rsidR="00DF6154" w:rsidRDefault="00376905" w:rsidP="003769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nasofaring</w:t>
      </w:r>
      <w:proofErr w:type="spellEnd"/>
      <w:r>
        <w:rPr>
          <w:rFonts w:ascii="Times New Roman" w:hAnsi="Times New Roman" w:cs="Times New Roman"/>
          <w:sz w:val="24"/>
          <w:szCs w:val="24"/>
        </w:rPr>
        <w:t xml:space="preserve"> di RS PKU Muhammadiyah </w:t>
      </w:r>
      <w:proofErr w:type="spellStart"/>
      <w:r>
        <w:rPr>
          <w:rFonts w:ascii="Times New Roman" w:hAnsi="Times New Roman" w:cs="Times New Roman"/>
          <w:sz w:val="24"/>
          <w:szCs w:val="24"/>
        </w:rPr>
        <w:t>Gombong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63%</w:t>
      </w:r>
      <w:r w:rsidR="00A123B0">
        <w:rPr>
          <w:rFonts w:ascii="Times New Roman" w:hAnsi="Times New Roman" w:cs="Times New Roman"/>
          <w:sz w:val="24"/>
          <w:szCs w:val="24"/>
        </w:rPr>
        <w:t xml:space="preserve">, </w:t>
      </w:r>
      <w:proofErr w:type="spellStart"/>
      <w:r w:rsidR="00A123B0">
        <w:rPr>
          <w:rFonts w:ascii="Times New Roman" w:hAnsi="Times New Roman" w:cs="Times New Roman"/>
          <w:sz w:val="24"/>
          <w:szCs w:val="24"/>
        </w:rPr>
        <w:t>rentang</w:t>
      </w:r>
      <w:proofErr w:type="spellEnd"/>
      <w:r w:rsidR="00A123B0">
        <w:rPr>
          <w:rFonts w:ascii="Times New Roman" w:hAnsi="Times New Roman" w:cs="Times New Roman"/>
          <w:sz w:val="24"/>
          <w:szCs w:val="24"/>
        </w:rPr>
        <w:t xml:space="preserve"> </w:t>
      </w:r>
      <w:proofErr w:type="spellStart"/>
      <w:r w:rsidR="00A123B0">
        <w:rPr>
          <w:rFonts w:ascii="Times New Roman" w:hAnsi="Times New Roman" w:cs="Times New Roman"/>
          <w:sz w:val="24"/>
          <w:szCs w:val="24"/>
        </w:rPr>
        <w:t>usia</w:t>
      </w:r>
      <w:proofErr w:type="spellEnd"/>
      <w:r w:rsidR="00A123B0">
        <w:rPr>
          <w:rFonts w:ascii="Times New Roman" w:hAnsi="Times New Roman" w:cs="Times New Roman"/>
          <w:sz w:val="24"/>
          <w:szCs w:val="24"/>
        </w:rPr>
        <w:t xml:space="preserve"> 46-65 </w:t>
      </w:r>
      <w:proofErr w:type="spellStart"/>
      <w:r w:rsidR="00A123B0">
        <w:rPr>
          <w:rFonts w:ascii="Times New Roman" w:hAnsi="Times New Roman" w:cs="Times New Roman"/>
          <w:sz w:val="24"/>
          <w:szCs w:val="24"/>
        </w:rPr>
        <w:t>tahun</w:t>
      </w:r>
      <w:proofErr w:type="spellEnd"/>
      <w:r w:rsidR="00A123B0">
        <w:rPr>
          <w:rFonts w:ascii="Times New Roman" w:hAnsi="Times New Roman" w:cs="Times New Roman"/>
          <w:sz w:val="24"/>
          <w:szCs w:val="24"/>
        </w:rPr>
        <w:t xml:space="preserve"> (48,1%)</w:t>
      </w:r>
      <w:r w:rsidR="00AE7032">
        <w:rPr>
          <w:rFonts w:ascii="Times New Roman" w:hAnsi="Times New Roman" w:cs="Times New Roman"/>
          <w:sz w:val="24"/>
          <w:szCs w:val="24"/>
        </w:rPr>
        <w:t xml:space="preserve"> yang </w:t>
      </w:r>
      <w:proofErr w:type="spellStart"/>
      <w:r w:rsidR="00AE7032">
        <w:rPr>
          <w:rFonts w:ascii="Times New Roman" w:hAnsi="Times New Roman" w:cs="Times New Roman"/>
          <w:sz w:val="24"/>
          <w:szCs w:val="24"/>
        </w:rPr>
        <w:t>didominasi</w:t>
      </w:r>
      <w:proofErr w:type="spellEnd"/>
      <w:r w:rsidR="00AE7032">
        <w:rPr>
          <w:rFonts w:ascii="Times New Roman" w:hAnsi="Times New Roman" w:cs="Times New Roman"/>
          <w:sz w:val="24"/>
          <w:szCs w:val="24"/>
        </w:rPr>
        <w:t xml:space="preserve"> </w:t>
      </w:r>
      <w:proofErr w:type="spellStart"/>
      <w:r w:rsidR="00AE7032">
        <w:rPr>
          <w:rFonts w:ascii="Times New Roman" w:hAnsi="Times New Roman" w:cs="Times New Roman"/>
          <w:sz w:val="24"/>
          <w:szCs w:val="24"/>
        </w:rPr>
        <w:t>pasien</w:t>
      </w:r>
      <w:proofErr w:type="spellEnd"/>
      <w:r w:rsidR="00AE7032">
        <w:rPr>
          <w:rFonts w:ascii="Times New Roman" w:hAnsi="Times New Roman" w:cs="Times New Roman"/>
          <w:sz w:val="24"/>
          <w:szCs w:val="24"/>
        </w:rPr>
        <w:t xml:space="preserve"> </w:t>
      </w:r>
      <w:proofErr w:type="spellStart"/>
      <w:r w:rsidR="00AE7032">
        <w:rPr>
          <w:rFonts w:ascii="Times New Roman" w:hAnsi="Times New Roman" w:cs="Times New Roman"/>
          <w:sz w:val="24"/>
          <w:szCs w:val="24"/>
        </w:rPr>
        <w:t>dengan</w:t>
      </w:r>
      <w:proofErr w:type="spellEnd"/>
      <w:r w:rsidR="00AE7032">
        <w:rPr>
          <w:rFonts w:ascii="Times New Roman" w:hAnsi="Times New Roman" w:cs="Times New Roman"/>
          <w:sz w:val="24"/>
          <w:szCs w:val="24"/>
        </w:rPr>
        <w:t xml:space="preserve"> stadium </w:t>
      </w:r>
      <w:proofErr w:type="spellStart"/>
      <w:r w:rsidR="00AE7032">
        <w:rPr>
          <w:rFonts w:ascii="Times New Roman" w:hAnsi="Times New Roman" w:cs="Times New Roman"/>
          <w:sz w:val="24"/>
          <w:szCs w:val="24"/>
        </w:rPr>
        <w:t>lanjut</w:t>
      </w:r>
      <w:proofErr w:type="spellEnd"/>
      <w:r w:rsidR="00AE7032">
        <w:rPr>
          <w:rFonts w:ascii="Times New Roman" w:hAnsi="Times New Roman" w:cs="Times New Roman"/>
          <w:sz w:val="24"/>
          <w:szCs w:val="24"/>
        </w:rPr>
        <w:t xml:space="preserve"> </w:t>
      </w:r>
      <w:proofErr w:type="spellStart"/>
      <w:r w:rsidR="00AE7032">
        <w:rPr>
          <w:rFonts w:ascii="Times New Roman" w:hAnsi="Times New Roman" w:cs="Times New Roman"/>
          <w:sz w:val="24"/>
          <w:szCs w:val="24"/>
        </w:rPr>
        <w:t>mencapai</w:t>
      </w:r>
      <w:proofErr w:type="spellEnd"/>
      <w:r w:rsidR="00AE7032">
        <w:rPr>
          <w:rFonts w:ascii="Times New Roman" w:hAnsi="Times New Roman" w:cs="Times New Roman"/>
          <w:sz w:val="24"/>
          <w:szCs w:val="24"/>
        </w:rPr>
        <w:t xml:space="preserve"> 66,7 % </w:t>
      </w:r>
      <w:proofErr w:type="spellStart"/>
      <w:r w:rsidR="00AE7032">
        <w:rPr>
          <w:rFonts w:ascii="Times New Roman" w:hAnsi="Times New Roman" w:cs="Times New Roman"/>
          <w:sz w:val="24"/>
          <w:szCs w:val="24"/>
        </w:rPr>
        <w:t>serta</w:t>
      </w:r>
      <w:proofErr w:type="spellEnd"/>
      <w:r w:rsidR="00AE7032">
        <w:rPr>
          <w:rFonts w:ascii="Times New Roman" w:hAnsi="Times New Roman" w:cs="Times New Roman"/>
          <w:sz w:val="24"/>
          <w:szCs w:val="24"/>
        </w:rPr>
        <w:t xml:space="preserve"> </w:t>
      </w:r>
      <w:proofErr w:type="spellStart"/>
      <w:r w:rsidR="00AE7032">
        <w:rPr>
          <w:rFonts w:ascii="Times New Roman" w:hAnsi="Times New Roman" w:cs="Times New Roman"/>
          <w:sz w:val="24"/>
          <w:szCs w:val="24"/>
        </w:rPr>
        <w:t>seluruhnya</w:t>
      </w:r>
      <w:proofErr w:type="spellEnd"/>
      <w:r w:rsidR="00A123B0">
        <w:rPr>
          <w:rFonts w:ascii="Times New Roman" w:hAnsi="Times New Roman" w:cs="Times New Roman"/>
          <w:sz w:val="24"/>
          <w:szCs w:val="24"/>
        </w:rPr>
        <w:t xml:space="preserve"> </w:t>
      </w:r>
      <w:proofErr w:type="spellStart"/>
      <w:r w:rsidR="00AE7032">
        <w:rPr>
          <w:rFonts w:ascii="Times New Roman" w:hAnsi="Times New Roman" w:cs="Times New Roman"/>
          <w:sz w:val="24"/>
          <w:szCs w:val="24"/>
        </w:rPr>
        <w:t>berjenis</w:t>
      </w:r>
      <w:proofErr w:type="spellEnd"/>
      <w:r w:rsidR="00AE7032">
        <w:rPr>
          <w:rFonts w:ascii="Times New Roman" w:hAnsi="Times New Roman" w:cs="Times New Roman"/>
          <w:sz w:val="24"/>
          <w:szCs w:val="24"/>
        </w:rPr>
        <w:t xml:space="preserve"> </w:t>
      </w:r>
      <w:r w:rsidR="00A123B0" w:rsidRPr="00A123B0">
        <w:rPr>
          <w:rFonts w:ascii="Times New Roman" w:hAnsi="Times New Roman" w:cs="Times New Roman"/>
          <w:i/>
          <w:iCs/>
          <w:sz w:val="24"/>
          <w:szCs w:val="24"/>
        </w:rPr>
        <w:t>Non keratinizing undifferentiated</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A123B0">
        <w:rPr>
          <w:rFonts w:ascii="Times New Roman" w:hAnsi="Times New Roman" w:cs="Times New Roman"/>
          <w:sz w:val="24"/>
          <w:szCs w:val="24"/>
        </w:rPr>
        <w:t xml:space="preserve"> </w:t>
      </w:r>
      <w:proofErr w:type="spellStart"/>
      <w:r w:rsidR="00A123B0">
        <w:rPr>
          <w:rFonts w:ascii="Times New Roman" w:hAnsi="Times New Roman" w:cs="Times New Roman"/>
          <w:sz w:val="24"/>
          <w:szCs w:val="24"/>
        </w:rPr>
        <w:t>sebelumnya</w:t>
      </w:r>
      <w:proofErr w:type="spellEnd"/>
      <w:r w:rsidR="00A123B0">
        <w:rPr>
          <w:rFonts w:ascii="Times New Roman" w:hAnsi="Times New Roman" w:cs="Times New Roman"/>
          <w:sz w:val="24"/>
          <w:szCs w:val="24"/>
        </w:rPr>
        <w:t xml:space="preserve"> di </w:t>
      </w:r>
      <w:proofErr w:type="spellStart"/>
      <w:r w:rsidR="00A123B0">
        <w:rPr>
          <w:rFonts w:ascii="Times New Roman" w:hAnsi="Times New Roman" w:cs="Times New Roman"/>
          <w:sz w:val="24"/>
          <w:szCs w:val="24"/>
        </w:rPr>
        <w:t>beberapa</w:t>
      </w:r>
      <w:proofErr w:type="spellEnd"/>
      <w:r w:rsidR="00A123B0">
        <w:rPr>
          <w:rFonts w:ascii="Times New Roman" w:hAnsi="Times New Roman" w:cs="Times New Roman"/>
          <w:sz w:val="24"/>
          <w:szCs w:val="24"/>
        </w:rPr>
        <w:t xml:space="preserve"> </w:t>
      </w:r>
      <w:proofErr w:type="spellStart"/>
      <w:r w:rsidR="00A123B0">
        <w:rPr>
          <w:rFonts w:ascii="Times New Roman" w:hAnsi="Times New Roman" w:cs="Times New Roman"/>
          <w:sz w:val="24"/>
          <w:szCs w:val="24"/>
        </w:rPr>
        <w:t>sentra</w:t>
      </w:r>
      <w:proofErr w:type="spellEnd"/>
      <w:r w:rsidR="00A123B0">
        <w:rPr>
          <w:rFonts w:ascii="Times New Roman" w:hAnsi="Times New Roman" w:cs="Times New Roman"/>
          <w:sz w:val="24"/>
          <w:szCs w:val="24"/>
        </w:rPr>
        <w:t xml:space="preserve"> </w:t>
      </w:r>
      <w:proofErr w:type="spellStart"/>
      <w:r w:rsidR="00A123B0">
        <w:rPr>
          <w:rFonts w:ascii="Times New Roman" w:hAnsi="Times New Roman" w:cs="Times New Roman"/>
          <w:sz w:val="24"/>
          <w:szCs w:val="24"/>
        </w:rPr>
        <w:t>kanker</w:t>
      </w:r>
      <w:proofErr w:type="spellEnd"/>
      <w:r w:rsidR="00A123B0">
        <w:rPr>
          <w:rFonts w:ascii="Times New Roman" w:hAnsi="Times New Roman" w:cs="Times New Roman"/>
          <w:sz w:val="24"/>
          <w:szCs w:val="24"/>
        </w:rPr>
        <w:t xml:space="preserve"> </w:t>
      </w:r>
      <w:proofErr w:type="spellStart"/>
      <w:r w:rsidR="00A123B0">
        <w:rPr>
          <w:rFonts w:ascii="Times New Roman" w:hAnsi="Times New Roman" w:cs="Times New Roman"/>
          <w:sz w:val="24"/>
          <w:szCs w:val="24"/>
        </w:rPr>
        <w:t>seperti</w:t>
      </w:r>
      <w:proofErr w:type="spellEnd"/>
      <w:r w:rsidR="00A123B0">
        <w:rPr>
          <w:rFonts w:ascii="Times New Roman" w:hAnsi="Times New Roman" w:cs="Times New Roman"/>
          <w:sz w:val="24"/>
          <w:szCs w:val="24"/>
        </w:rPr>
        <w:t xml:space="preserve"> Jakarta, Bandung</w:t>
      </w:r>
      <w:r w:rsidR="00D320E4">
        <w:rPr>
          <w:rFonts w:ascii="Times New Roman" w:hAnsi="Times New Roman" w:cs="Times New Roman"/>
          <w:sz w:val="24"/>
          <w:szCs w:val="24"/>
        </w:rPr>
        <w:t>, Medan, Bali</w:t>
      </w:r>
      <w:r w:rsidR="00A123B0">
        <w:rPr>
          <w:rFonts w:ascii="Times New Roman" w:hAnsi="Times New Roman" w:cs="Times New Roman"/>
          <w:sz w:val="24"/>
          <w:szCs w:val="24"/>
        </w:rPr>
        <w:t xml:space="preserve"> dan </w:t>
      </w:r>
      <w:proofErr w:type="spellStart"/>
      <w:r w:rsidR="00D320E4">
        <w:rPr>
          <w:rFonts w:ascii="Times New Roman" w:hAnsi="Times New Roman" w:cs="Times New Roman"/>
          <w:sz w:val="24"/>
          <w:szCs w:val="24"/>
        </w:rPr>
        <w:t>Makasar</w:t>
      </w:r>
      <w:proofErr w:type="spellEnd"/>
      <w:r w:rsidR="00A123B0">
        <w:rPr>
          <w:rFonts w:ascii="Times New Roman" w:hAnsi="Times New Roman" w:cs="Times New Roman"/>
          <w:sz w:val="24"/>
          <w:szCs w:val="24"/>
        </w:rPr>
        <w:t>.</w:t>
      </w:r>
      <w:r w:rsidR="00D320E4">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{"citationItems":[{"id":"ITEM-1","itemData":{"DOI":"10.32532/jori.v10i1.98","ISSN":"2086-9223","author":[{"dropping-particle":"","family":"Gondhowiardjo","given":"Soehartati Argadikoesoema","non-dropping-particle":"","parse-names":false,"suffix":""},{"dropping-particle":"","family":"Meidania","given":"Lidya","non-dropping-particle":"","parse-names":false,"suffix":""},{"dropping-particle":"","family":"Senoaji","given":"Fajar","non-dropping-particle":"","parse-names":false,"suffix":""},{"dropping-particle":"","family":"Sekarutami","given":"Sri Mutya","non-dropping-particle":"","parse-names":false,"suffix":""}],"container-title":"Radioterapi &amp; Onkologi Indonesia","id":"ITEM-1","issue":"1","issued":{"date-parts":[["2020"]]},"page":"8-11","title":"Nasopharyngeal Carcinoma Profile in dr. Cipto Mangunkusumo Hospital Year 2013","type":"article-journal","volume":"10"},"uris":["http://www.mendeley.com/documents/?uuid=f0bde831-04d7-45fc-8e84-d87a4e7ed83e"]},{"id":"ITEM-2","itemData":{"DOI":"10.32734/ijnpc.v2i03.4382","author":[{"dropping-particle":"","family":"Asnir","given":"Rizalina Arniwati","non-dropping-particle":"","parse-names":false,"suffix":""},{"dropping-particle":"","family":"Yudhistira","given":"Ashri","non-dropping-particle":"","parse-names":false,"suffix":""},{"dropping-particle":"","family":"Friliandita","given":"Namira","non-dropping-particle":"","parse-names":false,"suffix":""}],"id":"ITEM-2","issue":"03","issued":{"date-parts":[["2020"]]},"page":"79-81","title":"Profile of Nasopharyngeal Cancer Patients in Otorhinolaryngology-HNS Department Haji Adam Malik General Hospital Medan During 2014-2016","type":"article-journal","volume":"02"},"uris":["http://www.mendeley.com/documents/?uuid=62393597-0f3c-46d6-812b-be22cff33231"]},{"id":"ITEM-3","itemData":{"DOI":"10.32734/ijnpc.v2i04.4766","author":[{"dropping-particle":"","family":"Nurada","given":"I Gusti Ketut","non-dropping-particle":"","parse-names":false,"suffix":""},{"dropping-particle":"","family":"Ayu","given":"I Gusti","non-dropping-particle":"","parse-names":false,"suffix":""},{"dropping-particle":"","family":"Wahyu","given":"Putu","non-dropping-particle":"","parse-names":false,"suffix":""}],"id":"ITEM-3","issue":"04","issued":{"date-parts":[["2020"]]},"page":"112-114","title":"Characteristic of Nasopharyngeal Carcinoma Patients in Mangusada General Hospital in January-December 2019","type":"article-journal","volume":"02"},"uris":["http://www.mendeley.com/documents/?uuid=cfdcf18a-6c45-4855-bb0f-cd5d03e6de02"]},{"id":"ITEM-4","itemData":{"DOI":"10.32734/ijnpc.v2i03.4400","author":[{"dropping-particle":"","family":"Bachri","given":"Andi","non-dropping-particle":"","parse-names":false,"suffix":""},{"dropping-particle":"","family":"Jufri","given":"Nani Iriani","non-dropping-particle":"","parse-names":false,"suffix":""}],"container-title":"International Journal of Nasopharyngeal Carcinoma","id":"ITEM-4","issue":"03","issued":{"date-parts":[["2020"]]},"page":"82-84","title":"Retrospective Review of Nasofaring Carcinoma in Wahidin Sudirohusodo General Hospital on 2011-2019 Period","type":"article-journal","volume":"02"},"uris":["http://www.mendeley.com/documents/?uuid=7afb1102-9cf9-47c5-b880-94a1cc75b9fe"]},{"id":"ITEM-5","itemData":{"DOI":"10.32734/ijnpc.v2i01.3191","ISSN":"2656-9027","abstract":"Introduction:\r Nasopharingeal Carcinoma  starting from Rosenmuller fossa and intracranial or  local spread as a mass in the head area.  Nasopharyngeal carcinoma is also associated with hearing problems, serous otitis media, tinnitus, nasal congestion, anosmia, nose bleeding, difficulty swallowing, and dysphonia. Nasopharyngeal carcinoma is a disease that spreads globally and divides races around the world. The purpose of this study is to determine the prevalence of nasopharyngeal disease in Otorhinolaringology-Head and Neck  Department,  Dr. Hasan Sadikin General Hospital Bandung in 2010-2017.\r Methods:\r Medical record method description of Nasopharyngeal Carcinoma at Departement of Otorhinolaringology- Head and Neck Surgery, Dr. Hasan Sadikin General Hospital Bandung in 2010-2017 that used sampling method.\r Results:\r There were 1378 patients nasopharyngeal carcinoma, 976  people that included, 657 were  men and  319  were women. Obtain  most elementary school education (54.9 %)  the majority of  male patients (67.3 %) with various job background, whereas female patients were housewives (28.1%), and those aged 41-50 years (34%). Most histopathology are undifferentiated carcinoma (58.3 %).\r Conclusion:\r Nasopharyngeal Carcinoma patients at the Otorhinolaringology-Head and Neck Surgery Departement. Dr. Hasan Sadikin General Hospital Bandung are 1378 cases. There was higher instance in middle age, and older men and elementary school educated with major histopathology finding was undifferentiated carcinoma","author":[{"dropping-particle":"","family":"Handayani","given":"Riri","non-dropping-particle":"","parse-names":false,"suffix":""},{"dropping-particle":"","family":"Afriani Dewi","given":"Yussy","non-dropping-particle":"","parse-names":false,"suffix":""},{"dropping-particle":"","family":"Madani","given":"Deasy Z","non-dropping-particle":"","parse-names":false,"suffix":""}],"container-title":"International Journal of Nasopharyngeal Carcinoma (Ijnpc)","id":"ITEM-5","issue":"01","issued":{"date-parts":[["2020"]]},"page":"01-03","title":"Prevalence of Nasopharyngeal Carcinoma Patients in Departement of Orl-Hns Hasan Sadikin General Hospital 2010 -2017","type":"article-journal","volume":"2"},"uris":["http://www.mendeley.com/documents/?uuid=ae4dca08-62e4-4beb-99c4-5146d2bd3746"]}],"mendeley":{"formattedCitation":"(5,14–17)","plainTextFormattedCitation":"(5,14–17)","previouslyFormattedCitation":"(Asnir, Yudhistira and Friliandita, 2020; Bachri and Jufri, 2020; Gondhowiardjo &lt;i&gt;et al.&lt;/i&gt;, 2020; Handayani, Afriani Dewi and Madani, 2020; Nurada, Ayu and Wahyu, 2020)"},"properties":{"noteIndex":0},"schema":"https://github.com/citation-style-language/schema/raw/master/csl-citation.json"}</w:instrText>
      </w:r>
      <w:r w:rsidR="00D320E4">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(5,14–17)</w:t>
      </w:r>
      <w:r w:rsidR="00D320E4">
        <w:rPr>
          <w:rFonts w:ascii="Times New Roman" w:hAnsi="Times New Roman" w:cs="Times New Roman"/>
          <w:sz w:val="24"/>
          <w:szCs w:val="24"/>
        </w:rPr>
        <w:fldChar w:fldCharType="end"/>
      </w:r>
    </w:p>
    <w:p w14:paraId="52432108" w14:textId="78B9B612" w:rsidR="00D320E4" w:rsidRPr="00E20E49" w:rsidRDefault="00D320E4" w:rsidP="003769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Adapun status </w:t>
      </w:r>
      <w:proofErr w:type="spellStart"/>
      <w:r>
        <w:rPr>
          <w:rFonts w:ascii="Times New Roman" w:hAnsi="Times New Roman" w:cs="Times New Roman"/>
          <w:sz w:val="24"/>
          <w:szCs w:val="24"/>
        </w:rPr>
        <w:t>inflamasi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KNF di RS PKU Muhammadiyah </w:t>
      </w:r>
      <w:proofErr w:type="spellStart"/>
      <w:r>
        <w:rPr>
          <w:rFonts w:ascii="Times New Roman" w:hAnsi="Times New Roman" w:cs="Times New Roman"/>
          <w:sz w:val="24"/>
          <w:szCs w:val="24"/>
        </w:rPr>
        <w:t>Gombong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limfosit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dominasi</w:t>
      </w:r>
      <w:proofErr w:type="spellEnd"/>
      <w:r>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aktivitas</w:t>
      </w:r>
      <w:proofErr w:type="spellEnd"/>
      <w:r w:rsidR="007E192D">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radang</w:t>
      </w:r>
      <w:proofErr w:type="spellEnd"/>
      <w:r>
        <w:rPr>
          <w:rFonts w:ascii="Times New Roman" w:hAnsi="Times New Roman" w:cs="Times New Roman"/>
          <w:sz w:val="24"/>
          <w:szCs w:val="24"/>
        </w:rPr>
        <w:t xml:space="preserve"> yang </w:t>
      </w:r>
      <w:proofErr w:type="spellStart"/>
      <w:r w:rsidR="007E192D">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NLR dan PLR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r w:rsidR="007E192D">
        <w:rPr>
          <w:rFonts w:ascii="Times New Roman" w:hAnsi="Times New Roman" w:cs="Times New Roman"/>
          <w:sz w:val="24"/>
          <w:szCs w:val="24"/>
        </w:rPr>
        <w:t xml:space="preserve">70,4% dan 62,9%. Hal </w:t>
      </w:r>
      <w:proofErr w:type="spellStart"/>
      <w:r w:rsidR="007E192D">
        <w:rPr>
          <w:rFonts w:ascii="Times New Roman" w:hAnsi="Times New Roman" w:cs="Times New Roman"/>
          <w:sz w:val="24"/>
          <w:szCs w:val="24"/>
        </w:rPr>
        <w:t>ini</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mendukung</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beberapa</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temuan</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bahwa</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inflamasi</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terkait</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kanker</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dapat</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menjadi</w:t>
      </w:r>
      <w:proofErr w:type="spellEnd"/>
      <w:r w:rsidR="007E192D">
        <w:rPr>
          <w:rFonts w:ascii="Times New Roman" w:hAnsi="Times New Roman" w:cs="Times New Roman"/>
          <w:sz w:val="24"/>
          <w:szCs w:val="24"/>
        </w:rPr>
        <w:t xml:space="preserve"> salah </w:t>
      </w:r>
      <w:proofErr w:type="spellStart"/>
      <w:r w:rsidR="007E192D">
        <w:rPr>
          <w:rFonts w:ascii="Times New Roman" w:hAnsi="Times New Roman" w:cs="Times New Roman"/>
          <w:sz w:val="24"/>
          <w:szCs w:val="24"/>
        </w:rPr>
        <w:t>satu</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faktor</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etiologi</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suatu</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keganasan</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dimanak</w:t>
      </w:r>
      <w:proofErr w:type="spellEnd"/>
      <w:r w:rsidR="001B25B6">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ondisi</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dinamis</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antara</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sel-sel</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imun</w:t>
      </w:r>
      <w:proofErr w:type="spellEnd"/>
      <w:r w:rsidR="007E192D">
        <w:rPr>
          <w:rFonts w:ascii="Times New Roman" w:hAnsi="Times New Roman" w:cs="Times New Roman"/>
          <w:sz w:val="24"/>
          <w:szCs w:val="24"/>
        </w:rPr>
        <w:t xml:space="preserve">, protein </w:t>
      </w:r>
      <w:proofErr w:type="spellStart"/>
      <w:r w:rsidR="007E192D">
        <w:rPr>
          <w:rFonts w:ascii="Times New Roman" w:hAnsi="Times New Roman" w:cs="Times New Roman"/>
          <w:sz w:val="24"/>
          <w:szCs w:val="24"/>
        </w:rPr>
        <w:t>inflamasi</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sitokin</w:t>
      </w:r>
      <w:proofErr w:type="spellEnd"/>
      <w:r w:rsidR="007E192D">
        <w:rPr>
          <w:rFonts w:ascii="Times New Roman" w:hAnsi="Times New Roman" w:cs="Times New Roman"/>
          <w:sz w:val="24"/>
          <w:szCs w:val="24"/>
        </w:rPr>
        <w:t xml:space="preserve"> di </w:t>
      </w:r>
      <w:proofErr w:type="spellStart"/>
      <w:r w:rsidR="007E192D">
        <w:rPr>
          <w:rFonts w:ascii="Times New Roman" w:hAnsi="Times New Roman" w:cs="Times New Roman"/>
          <w:sz w:val="24"/>
          <w:szCs w:val="24"/>
        </w:rPr>
        <w:t>lingkungan</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mikro</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tumor</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serta</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sirkulasi</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sistemik</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dapat</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berkontribusi</w:t>
      </w:r>
      <w:proofErr w:type="spellEnd"/>
      <w:r w:rsidR="007E192D">
        <w:rPr>
          <w:rFonts w:ascii="Times New Roman" w:hAnsi="Times New Roman" w:cs="Times New Roman"/>
          <w:sz w:val="24"/>
          <w:szCs w:val="24"/>
        </w:rPr>
        <w:t xml:space="preserve"> pada </w:t>
      </w:r>
      <w:proofErr w:type="spellStart"/>
      <w:r w:rsidR="007E192D">
        <w:rPr>
          <w:rFonts w:ascii="Times New Roman" w:hAnsi="Times New Roman" w:cs="Times New Roman"/>
          <w:sz w:val="24"/>
          <w:szCs w:val="24"/>
        </w:rPr>
        <w:t>tumorgenesis</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termasuk</w:t>
      </w:r>
      <w:proofErr w:type="spellEnd"/>
      <w:r w:rsidR="007E192D">
        <w:rPr>
          <w:rFonts w:ascii="Times New Roman" w:hAnsi="Times New Roman" w:cs="Times New Roman"/>
          <w:sz w:val="24"/>
          <w:szCs w:val="24"/>
        </w:rPr>
        <w:t xml:space="preserve"> KNF.</w:t>
      </w:r>
      <w:r w:rsidR="001B25B6">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{"citationItems":[{"id":"ITEM-1","itemData":{"DOI":"10.2147/OTT.S137000","ISSN":"11786930","abstract":"Background: Increased cancer-related inflammation has been associated with unfavorable clinical outcomes. The combination of platelet count and neutrophil-lymphocyte ratio (COP-NLR) has related outcomes in several cancers, except for nasopharyngeal carcinoma (NPC). This study evaluated the prognostic value of COP-NLR in predicting outcome in NPC patients treated with intensity-modulated radiotherapy (IMRT). Materials and methods: We analyzed the data collected from 232 NPC patients. Pretreatment total platelet counts, neutrophil-lymphocyte ratio (NLR), and COP-NLR score were evaluated as potential predictors. Optimal cutoff values for NLR and platelets were determined using receiver operating curve. Patients with both elevated NLR (.3) and platelet counts (.300×109/L) were assigned a COP-NLR score of 2; those with one elevated or no elevated value were assigned a COP-NLR a score of 1 or 0. Cox proportional hazards model was used to test the association of these factors and relevant 3-year survivals. Results: Patients (COP-NLR scores 1 and 2=85; score 0=147) were followed up for 55.19 months. Univariate analysis showed no association between pretreatment NLR.2.23 and platelet counts.290.5×109/L and worse outcomes. Multivariate analysis revealed that those with COP-NLR scores of 0 had better 3-year disease-specific survival (P=0.02), overall survival (P=0.024), locoregional relapse-free survival (P=0.004), and distant metastasis-free survival (P=0.046). Further subgrouping by tumor stage also revealed COP-NLR to be an unfavorable prognostic indicator of 3-year failure-free survival (P=0.001) for locally advanced NPC. Conclusion: COP-NLR score, but not NLR alone or total platelet count alone, predicted survival in NPC patients treated with IMRT-based therapy, especially those with stage III/IVA, B malignancies.","author":[{"dropping-particle":"","family":"Lin","given":"Yu Hsuan","non-dropping-particle":"","parse-names":false,"suffix":""},{"dropping-particle":"","family":"Chang","given":"Kuo Ping","non-dropping-particle":"","parse-names":false,"suffix":""},{"dropping-particle":"","family":"Lin","given":"Yaoh Shiang","non-dropping-particle":"","parse-names":false,"suffix":""},{"dropping-particle":"","family":"Chang","given":"Ting Shou","non-dropping-particle":"","parse-names":false,"suffix":""}],"container-title":"OncoTargets and Therapy","id":"ITEM-1","issued":{"date-parts":[["2017"]]},"page":"2751-2760","title":"Pretreatment combination of platelet counts and neutrophil-lymphocyte ratio predicts survival of nasopharyngeal cancer patients receiving intensity-modulated radiotherapy","type":"article-journal","volume":"10"},"uris":["http://www.mendeley.com/documents/?uuid=529b9767-6af5-4110-86b8-b7233f746a63"]}],"mendeley":{"formattedCitation":"(18)","plainTextFormattedCitation":"(18)","previouslyFormattedCitation":"(Lin &lt;i&gt;et al.&lt;/i&gt;, 2017)"},"properties":{"noteIndex":0},"schema":"https://github.com/citation-style-language/schema/raw/master/csl-citation.json"}</w:instrText>
      </w:r>
      <w:r w:rsidR="001B25B6">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(18)</w:t>
      </w:r>
      <w:r w:rsidR="001B25B6">
        <w:rPr>
          <w:rFonts w:ascii="Times New Roman" w:hAnsi="Times New Roman" w:cs="Times New Roman"/>
          <w:sz w:val="24"/>
          <w:szCs w:val="24"/>
        </w:rPr>
        <w:fldChar w:fldCharType="end"/>
      </w:r>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Temuan</w:t>
      </w:r>
      <w:proofErr w:type="spellEnd"/>
      <w:r w:rsidR="007E192D">
        <w:rPr>
          <w:rFonts w:ascii="Times New Roman" w:hAnsi="Times New Roman" w:cs="Times New Roman"/>
          <w:sz w:val="24"/>
          <w:szCs w:val="24"/>
        </w:rPr>
        <w:t xml:space="preserve"> stadium </w:t>
      </w:r>
      <w:proofErr w:type="spellStart"/>
      <w:r w:rsidR="007E192D">
        <w:rPr>
          <w:rFonts w:ascii="Times New Roman" w:hAnsi="Times New Roman" w:cs="Times New Roman"/>
          <w:sz w:val="24"/>
          <w:szCs w:val="24"/>
        </w:rPr>
        <w:t>klinis</w:t>
      </w:r>
      <w:proofErr w:type="spellEnd"/>
      <w:r w:rsidR="007E192D">
        <w:rPr>
          <w:rFonts w:ascii="Times New Roman" w:hAnsi="Times New Roman" w:cs="Times New Roman"/>
          <w:sz w:val="24"/>
          <w:szCs w:val="24"/>
        </w:rPr>
        <w:t xml:space="preserve"> yang </w:t>
      </w:r>
      <w:proofErr w:type="spellStart"/>
      <w:r w:rsidR="007E192D">
        <w:rPr>
          <w:rFonts w:ascii="Times New Roman" w:hAnsi="Times New Roman" w:cs="Times New Roman"/>
          <w:sz w:val="24"/>
          <w:szCs w:val="24"/>
        </w:rPr>
        <w:t>umumnya</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sudah</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termasuk</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lanjut</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sebesar</w:t>
      </w:r>
      <w:proofErr w:type="spellEnd"/>
      <w:r w:rsidR="007E192D">
        <w:rPr>
          <w:rFonts w:ascii="Times New Roman" w:hAnsi="Times New Roman" w:cs="Times New Roman"/>
          <w:sz w:val="24"/>
          <w:szCs w:val="24"/>
        </w:rPr>
        <w:t xml:space="preserve"> 66,7% </w:t>
      </w:r>
      <w:proofErr w:type="spellStart"/>
      <w:r w:rsidR="007E192D">
        <w:rPr>
          <w:rFonts w:ascii="Times New Roman" w:hAnsi="Times New Roman" w:cs="Times New Roman"/>
          <w:sz w:val="24"/>
          <w:szCs w:val="24"/>
        </w:rPr>
        <w:t>dengan</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kontribusi</w:t>
      </w:r>
      <w:proofErr w:type="spellEnd"/>
      <w:r w:rsidR="007E192D">
        <w:rPr>
          <w:rFonts w:ascii="Times New Roman" w:hAnsi="Times New Roman" w:cs="Times New Roman"/>
          <w:sz w:val="24"/>
          <w:szCs w:val="24"/>
        </w:rPr>
        <w:t xml:space="preserve"> T </w:t>
      </w:r>
      <w:proofErr w:type="spellStart"/>
      <w:r w:rsidR="007E192D">
        <w:rPr>
          <w:rFonts w:ascii="Times New Roman" w:hAnsi="Times New Roman" w:cs="Times New Roman"/>
          <w:sz w:val="24"/>
          <w:szCs w:val="24"/>
        </w:rPr>
        <w:t>lanjut</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serta</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keterlibatan</w:t>
      </w:r>
      <w:proofErr w:type="spellEnd"/>
      <w:r w:rsidR="007E192D">
        <w:rPr>
          <w:rFonts w:ascii="Times New Roman" w:hAnsi="Times New Roman" w:cs="Times New Roman"/>
          <w:sz w:val="24"/>
          <w:szCs w:val="24"/>
        </w:rPr>
        <w:t xml:space="preserve"> N </w:t>
      </w:r>
      <w:proofErr w:type="spellStart"/>
      <w:r w:rsidR="007E192D">
        <w:rPr>
          <w:rFonts w:ascii="Times New Roman" w:hAnsi="Times New Roman" w:cs="Times New Roman"/>
          <w:sz w:val="24"/>
          <w:szCs w:val="24"/>
        </w:rPr>
        <w:t>leher</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menjadikan</w:t>
      </w:r>
      <w:proofErr w:type="spellEnd"/>
      <w:r w:rsidR="001B25B6">
        <w:rPr>
          <w:rFonts w:ascii="Times New Roman" w:hAnsi="Times New Roman" w:cs="Times New Roman"/>
          <w:sz w:val="24"/>
          <w:szCs w:val="24"/>
        </w:rPr>
        <w:t xml:space="preserve"> </w:t>
      </w:r>
      <w:r w:rsidR="007E192D">
        <w:rPr>
          <w:rFonts w:ascii="Times New Roman" w:hAnsi="Times New Roman" w:cs="Times New Roman"/>
          <w:sz w:val="24"/>
          <w:szCs w:val="24"/>
        </w:rPr>
        <w:t xml:space="preserve">status </w:t>
      </w:r>
      <w:proofErr w:type="spellStart"/>
      <w:r w:rsidR="007E192D">
        <w:rPr>
          <w:rFonts w:ascii="Times New Roman" w:hAnsi="Times New Roman" w:cs="Times New Roman"/>
          <w:sz w:val="24"/>
          <w:szCs w:val="24"/>
        </w:rPr>
        <w:t>inflamasi</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pasien</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kanker</w:t>
      </w:r>
      <w:proofErr w:type="spellEnd"/>
      <w:r w:rsidR="007E192D">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khusunya</w:t>
      </w:r>
      <w:proofErr w:type="spellEnd"/>
      <w:r w:rsidR="001B25B6">
        <w:rPr>
          <w:rFonts w:ascii="Times New Roman" w:hAnsi="Times New Roman" w:cs="Times New Roman"/>
          <w:sz w:val="24"/>
          <w:szCs w:val="24"/>
        </w:rPr>
        <w:t xml:space="preserve"> NLR dan PLR </w:t>
      </w:r>
      <w:proofErr w:type="spellStart"/>
      <w:r w:rsidR="007E192D">
        <w:rPr>
          <w:rFonts w:ascii="Times New Roman" w:hAnsi="Times New Roman" w:cs="Times New Roman"/>
          <w:sz w:val="24"/>
          <w:szCs w:val="24"/>
        </w:rPr>
        <w:t>dapat</w:t>
      </w:r>
      <w:proofErr w:type="spellEnd"/>
      <w:r w:rsidR="007E192D">
        <w:rPr>
          <w:rFonts w:ascii="Times New Roman" w:hAnsi="Times New Roman" w:cs="Times New Roman"/>
          <w:sz w:val="24"/>
          <w:szCs w:val="24"/>
        </w:rPr>
        <w:t xml:space="preserve"> </w:t>
      </w:r>
      <w:proofErr w:type="spellStart"/>
      <w:r w:rsidR="007E192D">
        <w:rPr>
          <w:rFonts w:ascii="Times New Roman" w:hAnsi="Times New Roman" w:cs="Times New Roman"/>
          <w:sz w:val="24"/>
          <w:szCs w:val="24"/>
        </w:rPr>
        <w:t>menjadi</w:t>
      </w:r>
      <w:proofErr w:type="spellEnd"/>
      <w:r w:rsidR="007E192D">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faktor</w:t>
      </w:r>
      <w:proofErr w:type="spellEnd"/>
      <w:r w:rsidR="001B25B6">
        <w:rPr>
          <w:rFonts w:ascii="Times New Roman" w:hAnsi="Times New Roman" w:cs="Times New Roman"/>
          <w:sz w:val="24"/>
          <w:szCs w:val="24"/>
        </w:rPr>
        <w:t xml:space="preserve"> prognosis </w:t>
      </w:r>
      <w:proofErr w:type="spellStart"/>
      <w:r w:rsidR="001B25B6">
        <w:rPr>
          <w:rFonts w:ascii="Times New Roman" w:hAnsi="Times New Roman" w:cs="Times New Roman"/>
          <w:sz w:val="24"/>
          <w:szCs w:val="24"/>
        </w:rPr>
        <w:t>seperti</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telah</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dilaporkan</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sebelumnya</w:t>
      </w:r>
      <w:proofErr w:type="spellEnd"/>
      <w:r w:rsidR="001B25B6">
        <w:rPr>
          <w:rFonts w:ascii="Times New Roman" w:hAnsi="Times New Roman" w:cs="Times New Roman"/>
          <w:sz w:val="24"/>
          <w:szCs w:val="24"/>
        </w:rPr>
        <w:t xml:space="preserve"> di negara lain</w:t>
      </w:r>
      <w:r w:rsidR="001B25B6">
        <w:rPr>
          <w:rFonts w:ascii="Times New Roman" w:hAnsi="Times New Roman" w:cs="Times New Roman"/>
          <w:sz w:val="24"/>
          <w:szCs w:val="24"/>
        </w:rPr>
        <w:fldChar w:fldCharType="begin" w:fldLock="1"/>
      </w:r>
      <w:r w:rsidR="002F461E">
        <w:rPr>
          <w:rFonts w:ascii="Times New Roman" w:hAnsi="Times New Roman" w:cs="Times New Roman"/>
          <w:sz w:val="24"/>
          <w:szCs w:val="24"/>
        </w:rPr>
        <w:instrText>ADDIN CSL_CITATION {"citationItems":[{"id":"ITEM-1","itemData":{"DOI":"10.7150/jca.26770","ISBN":"8605328291134","ISSN":"18379664","abstract":"Purpose: Hematological parameters are considered to be associated with prognosis in various cancers. We designed a meta-analysis to evaluate the prognostic significance of hematological parameters, including the neutrophil-to-lymphocyte ratio (NLR), C-reactive protein/albumin ratio (CRP/ALB), lymphocyte-to-monocyte ratio (LMR), plasma fibrinogen level, Glasgow prognostic score (GPS), platelet-to-lymphocyte ratio (PLR) and high-density lipoprotein cholesterol (HDL-C) level, on clinical outcomes in nasopharyngeal carcinoma (NPC). Methods: Relevant studies published prior to February 2018 were identified in the PubMed, Web of Science, EMBASE and Cochrane library databases. The primary outcome was overall survival (OS), and the secondary outcome was progression-free survival (PFS). The pooled hazard ratios (HRs) and 95% confidence intervals (CIs) were calculated. Results: In total, 23 studies encompassing 23,417 patients were included in our meta-analysis. An elevated NLR was related to a poor OS (HR=1.46, 95% CI=1.30-1.63, p&lt;0.00001) and PFS (HR=1.67, 95% CI=1.36-2.07, p&lt;0.00001), and a high PLR was associated with a poor OS (HR=1.62, 95% CI=1.32-1.98, p&lt;0.00001). Additionally, a high LMR predicted a significantly favorable OS (HR=0.50, 95% CI: 0.43–0.58, p&lt;0.00001). CRP/ALB, the GPS, HDL-C and plasma fibrinogen levels were also related to OS and PFS. Conclusion: Inflammation-based prognostic scoring systems considering inflammatory cells (lymphocytes, neutrophils, platelets and monocytes) and proteins (ALB, CRP and HDL-C) are essential prognostic factors.","author":[{"dropping-particle":"","family":"Yang","given":"Shanshan","non-dropping-particle":"","parse-names":false,"suffix":""},{"dropping-particle":"","family":"Zhao","given":"Kun","non-dropping-particle":"","parse-names":false,"suffix":""},{"dropping-particle":"","family":"Ding","given":"Xiao","non-dropping-particle":"","parse-names":false,"suffix":""},{"dropping-particle":"","family":"Jiang","given":"Haiping","non-dropping-particle":"","parse-names":false,"suffix":""},{"dropping-particle":"","family":"Lu","given":"Haijun","non-dropping-particle":"","parse-names":false,"suffix":""}],"container-title":"Journal of Cancer","id":"ITEM-1","issue":"11","issued":{"date-parts":[["2019"]]},"page":"2568-2577","title":"Prognostic significance of hematological markers for patients with nasopharyngeal carcinoma: A meta-analysis","type":"article-journal","volume":"10"},"uris":["http://www.mendeley.com/documents/?uuid=25c1e763-2cf0-4fad-8fd1-997fe8cd55c2"]},{"id":"ITEM-2","itemData":{"DOI":"10.1002/hed.24224","ISBN":"0000000000","ISSN":"10970347","PMID":"26362911","abstract":"Background Pretreatment hematological markers of inflammatory response have emerged as prognostic factors for patients with cancer. In this study, we evaluated the prognostic significance of various hematologic parameters in patients with nasopharyngeal carcinoma (NPC). Methods Clinical data from 251 patients with NPC were retrospectively collected. Neutrophil counts, lymphocyte counts, platelet counts, neutrophil-lymphocyte ratio (NLR), and platelet-lymphocyte ratio (PLR) were adopted as potential prognostic biomarkers. The Kaplan-Meier method and log-rank test were adopted to calculate and compare the progression-free survival (PFS) and overall survival (OS) rates. The Cox proportional hazards model was used to carry out univariate and multivariate analyses. Results NLR ≥2.7 (hazard ratio [HR] = 2.01; 95% confidence interval [CI] = 1.23-3.29; p =.005) and PLR ≥167.2 (HR = 2.12; 95% CI = 1.35-3.33; p =.001) were significantly associated with shorter PFS, whereas PLR ≥163.4 (HR = 2.64; 95% CI = 1.25-5.60; p =.011) was correlated with poor OS. Conclusion Pretreatment NLR and PLR can be independent prognostic factors for patients with NPC.","author":[{"dropping-particle":"","family":"Hu","given":"Guoqing","non-dropping-particle":"","parse-names":false,"suffix":""},{"dropping-particle":"","family":"Sun","given":"Wei","non-dropping-particle":"","parse-names":false,"suffix":""},{"dropping-particle":"","family":"Zhang","given":"Linli","non-dropping-particle":"","parse-names":false,"suffix":""},{"dropping-particle":"","family":"Luo","given":"Min","non-dropping-particle":"","parse-names":false,"suffix":""},{"dropping-particle":"","family":"Hu","given":"Guangyuan","non-dropping-particle":"","parse-names":false,"suffix":""},{"dropping-particle":"","family":"Mei","given":"Qi","non-dropping-particle":"","parse-names":false,"suffix":""},{"dropping-particle":"","family":"Liu","given":"Dongbo","non-dropping-particle":"","parse-names":false,"suffix":""},{"dropping-particle":"","family":"Long","given":"Guoxian","non-dropping-particle":"","parse-names":false,"suffix":""}],"container-title":"Head and Neck","id":"ITEM-2","issue":"February","issued":{"date-parts":[["2016"]]},"page":"E1332-E1340","title":"Pretreatment hematologic markers as prognostic factors in patients with nasopharyngeal carcinoma: Neutrophil-lymphocyte ratio and platelet-lymphocyte ratio","type":"article-journal","volume":"38"},"uris":["http://www.mendeley.com/documents/?uuid=5902e7c0-6e3c-40ed-89fc-63668d10076c"]}],"mendeley":{"formattedCitation":"(10,11)","plainTextFormattedCitation":"(10,11)","previouslyFormattedCitation":"(Hu &lt;i&gt;et al.&lt;/i&gt;, 2016; Yang &lt;i&gt;et al.&lt;/i&gt;, 2019)"},"properties":{"noteIndex":0},"schema":"https://github.com/citation-style-language/schema/raw/master/csl-citation.json"}</w:instrText>
      </w:r>
      <w:r w:rsidR="001B25B6">
        <w:rPr>
          <w:rFonts w:ascii="Times New Roman" w:hAnsi="Times New Roman" w:cs="Times New Roman"/>
          <w:sz w:val="24"/>
          <w:szCs w:val="24"/>
        </w:rPr>
        <w:fldChar w:fldCharType="separate"/>
      </w:r>
      <w:r w:rsidR="002F461E" w:rsidRPr="002F461E">
        <w:rPr>
          <w:rFonts w:ascii="Times New Roman" w:hAnsi="Times New Roman" w:cs="Times New Roman"/>
          <w:noProof/>
          <w:sz w:val="24"/>
          <w:szCs w:val="24"/>
        </w:rPr>
        <w:t>(10,11)</w:t>
      </w:r>
      <w:r w:rsidR="001B25B6">
        <w:rPr>
          <w:rFonts w:ascii="Times New Roman" w:hAnsi="Times New Roman" w:cs="Times New Roman"/>
          <w:sz w:val="24"/>
          <w:szCs w:val="24"/>
        </w:rPr>
        <w:fldChar w:fldCharType="end"/>
      </w:r>
      <w:r w:rsidR="001B25B6">
        <w:rPr>
          <w:rFonts w:ascii="Times New Roman" w:hAnsi="Times New Roman" w:cs="Times New Roman"/>
          <w:sz w:val="24"/>
          <w:szCs w:val="24"/>
        </w:rPr>
        <w:t>.</w:t>
      </w:r>
    </w:p>
    <w:p w14:paraId="0B18D513" w14:textId="6DBE436C" w:rsidR="00DF6154" w:rsidRPr="00E20E49" w:rsidRDefault="00DF6154" w:rsidP="00E20E49">
      <w:pPr>
        <w:spacing w:line="360" w:lineRule="auto"/>
        <w:jc w:val="both"/>
        <w:rPr>
          <w:rFonts w:ascii="Times New Roman" w:hAnsi="Times New Roman" w:cs="Times New Roman"/>
          <w:b/>
          <w:bCs/>
          <w:sz w:val="24"/>
          <w:szCs w:val="24"/>
        </w:rPr>
      </w:pPr>
      <w:r w:rsidRPr="00E20E49">
        <w:rPr>
          <w:rFonts w:ascii="Times New Roman" w:hAnsi="Times New Roman" w:cs="Times New Roman"/>
          <w:b/>
          <w:bCs/>
          <w:sz w:val="24"/>
          <w:szCs w:val="24"/>
        </w:rPr>
        <w:t>Kesimpulan</w:t>
      </w:r>
      <w:r w:rsidR="00A84C84">
        <w:rPr>
          <w:rFonts w:ascii="Times New Roman" w:hAnsi="Times New Roman" w:cs="Times New Roman"/>
          <w:b/>
          <w:bCs/>
          <w:sz w:val="24"/>
          <w:szCs w:val="24"/>
        </w:rPr>
        <w:t xml:space="preserve"> dan Saran</w:t>
      </w:r>
    </w:p>
    <w:p w14:paraId="7EADC490" w14:textId="4204612D" w:rsidR="00DF6154" w:rsidRDefault="00BB0238" w:rsidP="00BB02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Status </w:t>
      </w:r>
      <w:proofErr w:type="spellStart"/>
      <w:r>
        <w:rPr>
          <w:rFonts w:ascii="Times New Roman" w:hAnsi="Times New Roman" w:cs="Times New Roman"/>
          <w:sz w:val="24"/>
          <w:szCs w:val="24"/>
        </w:rPr>
        <w:t>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inflamasi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nasofaring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stadium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keselarasan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inflamasi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keganasan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nasofaring</w:t>
      </w:r>
      <w:proofErr w:type="spellEnd"/>
      <w:r>
        <w:rPr>
          <w:rFonts w:ascii="Times New Roman" w:hAnsi="Times New Roman" w:cs="Times New Roman"/>
          <w:sz w:val="24"/>
          <w:szCs w:val="24"/>
        </w:rPr>
        <w:t xml:space="preserve"> di RS PKU Muhammadiyah </w:t>
      </w:r>
      <w:proofErr w:type="spellStart"/>
      <w:r>
        <w:rPr>
          <w:rFonts w:ascii="Times New Roman" w:hAnsi="Times New Roman" w:cs="Times New Roman"/>
          <w:sz w:val="24"/>
          <w:szCs w:val="24"/>
        </w:rPr>
        <w:t>Gombong</w:t>
      </w:r>
      <w:proofErr w:type="spellEnd"/>
      <w:r>
        <w:rPr>
          <w:rFonts w:ascii="Times New Roman" w:hAnsi="Times New Roman" w:cs="Times New Roman"/>
          <w:sz w:val="24"/>
          <w:szCs w:val="24"/>
        </w:rPr>
        <w:t>.</w:t>
      </w:r>
      <w:r w:rsidR="001B25B6">
        <w:rPr>
          <w:rFonts w:ascii="Times New Roman" w:hAnsi="Times New Roman" w:cs="Times New Roman"/>
          <w:sz w:val="24"/>
          <w:szCs w:val="24"/>
        </w:rPr>
        <w:t xml:space="preserve"> Hal </w:t>
      </w:r>
      <w:proofErr w:type="spellStart"/>
      <w:r w:rsidR="001B25B6">
        <w:rPr>
          <w:rFonts w:ascii="Times New Roman" w:hAnsi="Times New Roman" w:cs="Times New Roman"/>
          <w:sz w:val="24"/>
          <w:szCs w:val="24"/>
        </w:rPr>
        <w:t>ini</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mendukung</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temuan</w:t>
      </w:r>
      <w:proofErr w:type="spellEnd"/>
      <w:r w:rsidR="001B25B6">
        <w:rPr>
          <w:rFonts w:ascii="Times New Roman" w:hAnsi="Times New Roman" w:cs="Times New Roman"/>
          <w:sz w:val="24"/>
          <w:szCs w:val="24"/>
        </w:rPr>
        <w:t xml:space="preserve"> status </w:t>
      </w:r>
      <w:proofErr w:type="spellStart"/>
      <w:r w:rsidR="001B25B6">
        <w:rPr>
          <w:rFonts w:ascii="Times New Roman" w:hAnsi="Times New Roman" w:cs="Times New Roman"/>
          <w:sz w:val="24"/>
          <w:szCs w:val="24"/>
        </w:rPr>
        <w:t>inflamasi</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pasien</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dapat</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berperan</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sebagai</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faktor</w:t>
      </w:r>
      <w:proofErr w:type="spellEnd"/>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etiologi</w:t>
      </w:r>
      <w:proofErr w:type="spellEnd"/>
      <w:r w:rsidR="001B25B6">
        <w:rPr>
          <w:rFonts w:ascii="Times New Roman" w:hAnsi="Times New Roman" w:cs="Times New Roman"/>
          <w:sz w:val="24"/>
          <w:szCs w:val="24"/>
        </w:rPr>
        <w:t xml:space="preserve"> dan prognos</w:t>
      </w:r>
      <w:r w:rsidR="008A4C5C">
        <w:rPr>
          <w:rFonts w:ascii="Times New Roman" w:hAnsi="Times New Roman" w:cs="Times New Roman"/>
          <w:sz w:val="24"/>
          <w:szCs w:val="24"/>
        </w:rPr>
        <w:t>is</w:t>
      </w:r>
      <w:r w:rsidR="001B25B6">
        <w:rPr>
          <w:rFonts w:ascii="Times New Roman" w:hAnsi="Times New Roman" w:cs="Times New Roman"/>
          <w:sz w:val="24"/>
          <w:szCs w:val="24"/>
        </w:rPr>
        <w:t xml:space="preserve"> </w:t>
      </w:r>
      <w:proofErr w:type="spellStart"/>
      <w:r w:rsidR="001B25B6">
        <w:rPr>
          <w:rFonts w:ascii="Times New Roman" w:hAnsi="Times New Roman" w:cs="Times New Roman"/>
          <w:sz w:val="24"/>
          <w:szCs w:val="24"/>
        </w:rPr>
        <w:t>pasien</w:t>
      </w:r>
      <w:proofErr w:type="spellEnd"/>
      <w:r w:rsidR="001B25B6">
        <w:rPr>
          <w:rFonts w:ascii="Times New Roman" w:hAnsi="Times New Roman" w:cs="Times New Roman"/>
          <w:sz w:val="24"/>
          <w:szCs w:val="24"/>
        </w:rPr>
        <w:t xml:space="preserve"> KNF.</w:t>
      </w:r>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Diperlukan</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penelitian</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lebih</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lanjut</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dengan</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sampel</w:t>
      </w:r>
      <w:proofErr w:type="spellEnd"/>
      <w:r w:rsidR="008A4C5C">
        <w:rPr>
          <w:rFonts w:ascii="Times New Roman" w:hAnsi="Times New Roman" w:cs="Times New Roman"/>
          <w:sz w:val="24"/>
          <w:szCs w:val="24"/>
        </w:rPr>
        <w:t xml:space="preserve"> yang </w:t>
      </w:r>
      <w:proofErr w:type="spellStart"/>
      <w:r w:rsidR="008A4C5C">
        <w:rPr>
          <w:rFonts w:ascii="Times New Roman" w:hAnsi="Times New Roman" w:cs="Times New Roman"/>
          <w:sz w:val="24"/>
          <w:szCs w:val="24"/>
        </w:rPr>
        <w:t>lebih</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besar</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ditengah</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keterbatasan</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sarana</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prasarana</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penunjang</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serta</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tantangan</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pandemi</w:t>
      </w:r>
      <w:proofErr w:type="spellEnd"/>
      <w:r w:rsidR="008A4C5C">
        <w:rPr>
          <w:rFonts w:ascii="Times New Roman" w:hAnsi="Times New Roman" w:cs="Times New Roman"/>
          <w:sz w:val="24"/>
          <w:szCs w:val="24"/>
        </w:rPr>
        <w:t xml:space="preserve"> Covid 19 </w:t>
      </w:r>
      <w:proofErr w:type="spellStart"/>
      <w:r w:rsidR="008A4C5C">
        <w:rPr>
          <w:rFonts w:ascii="Times New Roman" w:hAnsi="Times New Roman" w:cs="Times New Roman"/>
          <w:sz w:val="24"/>
          <w:szCs w:val="24"/>
        </w:rPr>
        <w:t>terkait</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penurunan</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pasien</w:t>
      </w:r>
      <w:proofErr w:type="spellEnd"/>
      <w:r w:rsidR="008A4C5C">
        <w:rPr>
          <w:rFonts w:ascii="Times New Roman" w:hAnsi="Times New Roman" w:cs="Times New Roman"/>
          <w:sz w:val="24"/>
          <w:szCs w:val="24"/>
        </w:rPr>
        <w:t xml:space="preserve"> non Covid 19 di </w:t>
      </w:r>
      <w:proofErr w:type="spellStart"/>
      <w:r w:rsidR="008A4C5C">
        <w:rPr>
          <w:rFonts w:ascii="Times New Roman" w:hAnsi="Times New Roman" w:cs="Times New Roman"/>
          <w:sz w:val="24"/>
          <w:szCs w:val="24"/>
        </w:rPr>
        <w:t>rumah</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sakit</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serta</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pemeriksaan</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nasofaring</w:t>
      </w:r>
      <w:proofErr w:type="spellEnd"/>
      <w:r w:rsidR="008A4C5C">
        <w:rPr>
          <w:rFonts w:ascii="Times New Roman" w:hAnsi="Times New Roman" w:cs="Times New Roman"/>
          <w:sz w:val="24"/>
          <w:szCs w:val="24"/>
        </w:rPr>
        <w:t xml:space="preserve"> yang </w:t>
      </w:r>
      <w:proofErr w:type="spellStart"/>
      <w:r w:rsidR="008A4C5C">
        <w:rPr>
          <w:rFonts w:ascii="Times New Roman" w:hAnsi="Times New Roman" w:cs="Times New Roman"/>
          <w:sz w:val="24"/>
          <w:szCs w:val="24"/>
        </w:rPr>
        <w:t>merupakan</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prosedur</w:t>
      </w:r>
      <w:proofErr w:type="spellEnd"/>
      <w:r w:rsidR="008A4C5C">
        <w:rPr>
          <w:rFonts w:ascii="Times New Roman" w:hAnsi="Times New Roman" w:cs="Times New Roman"/>
          <w:sz w:val="24"/>
          <w:szCs w:val="24"/>
        </w:rPr>
        <w:t xml:space="preserve"> </w:t>
      </w:r>
      <w:proofErr w:type="spellStart"/>
      <w:r w:rsidR="008A4C5C">
        <w:rPr>
          <w:rFonts w:ascii="Times New Roman" w:hAnsi="Times New Roman" w:cs="Times New Roman"/>
          <w:sz w:val="24"/>
          <w:szCs w:val="24"/>
        </w:rPr>
        <w:t>penghasil</w:t>
      </w:r>
      <w:proofErr w:type="spellEnd"/>
      <w:r w:rsidR="008A4C5C">
        <w:rPr>
          <w:rFonts w:ascii="Times New Roman" w:hAnsi="Times New Roman" w:cs="Times New Roman"/>
          <w:sz w:val="24"/>
          <w:szCs w:val="24"/>
        </w:rPr>
        <w:t xml:space="preserve"> aerosol.</w:t>
      </w:r>
    </w:p>
    <w:p w14:paraId="3CA7648B" w14:textId="1DE1329A" w:rsidR="00A23E90" w:rsidRDefault="00A23E90" w:rsidP="00AD4322">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Ucapan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Terimakasih</w:t>
      </w:r>
      <w:proofErr w:type="spellEnd"/>
    </w:p>
    <w:p w14:paraId="68400FEF" w14:textId="742B52F4" w:rsidR="00A84C84" w:rsidRPr="00A84C84" w:rsidRDefault="00A84C84" w:rsidP="00A84C84">
      <w:pPr>
        <w:pStyle w:val="ListParagraph"/>
        <w:numPr>
          <w:ilvl w:val="0"/>
          <w:numId w:val="3"/>
        </w:numPr>
        <w:spacing w:line="360" w:lineRule="auto"/>
        <w:jc w:val="both"/>
      </w:pPr>
      <w:r w:rsidRPr="00A84C84">
        <w:t>Pimpinan Universitas Muhammadiyah Purwokerto</w:t>
      </w:r>
      <w:r>
        <w:t xml:space="preserve"> (UMP)</w:t>
      </w:r>
    </w:p>
    <w:p w14:paraId="7CBC33AA" w14:textId="672EAE4A" w:rsidR="00A84C84" w:rsidRPr="00A84C84" w:rsidRDefault="00A84C84" w:rsidP="00A84C84">
      <w:pPr>
        <w:pStyle w:val="ListParagraph"/>
        <w:numPr>
          <w:ilvl w:val="0"/>
          <w:numId w:val="3"/>
        </w:numPr>
        <w:spacing w:line="360" w:lineRule="auto"/>
        <w:jc w:val="both"/>
      </w:pPr>
      <w:r w:rsidRPr="00A84C84">
        <w:t xml:space="preserve">Pimpinan </w:t>
      </w:r>
      <w:proofErr w:type="spellStart"/>
      <w:r w:rsidRPr="00A84C84">
        <w:t>F</w:t>
      </w:r>
      <w:r>
        <w:t>akultas</w:t>
      </w:r>
      <w:proofErr w:type="spellEnd"/>
      <w:r>
        <w:t xml:space="preserve"> </w:t>
      </w:r>
      <w:proofErr w:type="spellStart"/>
      <w:r w:rsidRPr="00A84C84">
        <w:t>K</w:t>
      </w:r>
      <w:r>
        <w:t>edokteran</w:t>
      </w:r>
      <w:proofErr w:type="spellEnd"/>
      <w:r>
        <w:t xml:space="preserve"> (FK)</w:t>
      </w:r>
      <w:r w:rsidRPr="00A84C84">
        <w:t xml:space="preserve"> </w:t>
      </w:r>
      <w:r>
        <w:t>UMP</w:t>
      </w:r>
    </w:p>
    <w:p w14:paraId="5F212D9E" w14:textId="511DC4C3" w:rsidR="00A84C84" w:rsidRPr="00A84C84" w:rsidRDefault="00A84C84" w:rsidP="00A84C84">
      <w:pPr>
        <w:pStyle w:val="ListParagraph"/>
        <w:numPr>
          <w:ilvl w:val="0"/>
          <w:numId w:val="3"/>
        </w:numPr>
        <w:spacing w:line="360" w:lineRule="auto"/>
        <w:jc w:val="both"/>
      </w:pPr>
      <w:proofErr w:type="spellStart"/>
      <w:r w:rsidRPr="00A84C84">
        <w:t>Ketua</w:t>
      </w:r>
      <w:proofErr w:type="spellEnd"/>
      <w:r w:rsidRPr="00A84C84">
        <w:t xml:space="preserve"> dan Tim LP/LPM UM</w:t>
      </w:r>
      <w:r>
        <w:t>P</w:t>
      </w:r>
    </w:p>
    <w:p w14:paraId="635EEE6C" w14:textId="14BE6BF3" w:rsidR="00A23E90" w:rsidRPr="00A84C84" w:rsidRDefault="00A23E90" w:rsidP="00A84C84">
      <w:pPr>
        <w:pStyle w:val="ListParagraph"/>
        <w:numPr>
          <w:ilvl w:val="0"/>
          <w:numId w:val="3"/>
        </w:numPr>
        <w:spacing w:line="360" w:lineRule="auto"/>
        <w:jc w:val="both"/>
      </w:pPr>
      <w:r w:rsidRPr="00A84C84">
        <w:t xml:space="preserve">RS PKU Muhammadiyah </w:t>
      </w:r>
      <w:proofErr w:type="spellStart"/>
      <w:proofErr w:type="gramStart"/>
      <w:r w:rsidRPr="00A84C84">
        <w:t>Gombong</w:t>
      </w:r>
      <w:proofErr w:type="spellEnd"/>
      <w:r w:rsidRPr="00A84C84">
        <w:t xml:space="preserve"> :</w:t>
      </w:r>
      <w:proofErr w:type="gramEnd"/>
      <w:r w:rsidRPr="00A84C84">
        <w:t xml:space="preserve"> </w:t>
      </w:r>
      <w:proofErr w:type="spellStart"/>
      <w:r w:rsidRPr="00A84C84">
        <w:t>Pimpinan</w:t>
      </w:r>
      <w:proofErr w:type="spellEnd"/>
      <w:r w:rsidRPr="00A84C84">
        <w:t xml:space="preserve"> RS, Bagian </w:t>
      </w:r>
      <w:proofErr w:type="spellStart"/>
      <w:r w:rsidRPr="00A84C84">
        <w:t>DikLat</w:t>
      </w:r>
      <w:proofErr w:type="spellEnd"/>
      <w:r w:rsidRPr="00A84C84">
        <w:t xml:space="preserve">, Bagian </w:t>
      </w:r>
      <w:proofErr w:type="spellStart"/>
      <w:r w:rsidRPr="00A84C84">
        <w:t>Rekam</w:t>
      </w:r>
      <w:proofErr w:type="spellEnd"/>
      <w:r w:rsidRPr="00A84C84">
        <w:t xml:space="preserve"> </w:t>
      </w:r>
      <w:proofErr w:type="spellStart"/>
      <w:r w:rsidRPr="00A84C84">
        <w:t>Medik</w:t>
      </w:r>
      <w:proofErr w:type="spellEnd"/>
      <w:r w:rsidRPr="00A84C84">
        <w:t xml:space="preserve">, Bagian </w:t>
      </w:r>
      <w:proofErr w:type="spellStart"/>
      <w:r w:rsidRPr="00A84C84">
        <w:t>Radiologi</w:t>
      </w:r>
      <w:proofErr w:type="spellEnd"/>
      <w:r w:rsidRPr="00A84C84">
        <w:t xml:space="preserve">, Bagian </w:t>
      </w:r>
      <w:proofErr w:type="spellStart"/>
      <w:r w:rsidRPr="00A84C84">
        <w:t>Patologi</w:t>
      </w:r>
      <w:proofErr w:type="spellEnd"/>
      <w:r w:rsidRPr="00A84C84">
        <w:t xml:space="preserve"> </w:t>
      </w:r>
      <w:proofErr w:type="spellStart"/>
      <w:r w:rsidRPr="00A84C84">
        <w:t>Anatomi</w:t>
      </w:r>
      <w:proofErr w:type="spellEnd"/>
      <w:r w:rsidRPr="00A84C84">
        <w:t xml:space="preserve">, Bagian </w:t>
      </w:r>
      <w:proofErr w:type="spellStart"/>
      <w:r w:rsidRPr="00A84C84">
        <w:t>Patologi</w:t>
      </w:r>
      <w:proofErr w:type="spellEnd"/>
      <w:r w:rsidRPr="00A84C84">
        <w:t xml:space="preserve"> </w:t>
      </w:r>
      <w:proofErr w:type="spellStart"/>
      <w:r w:rsidRPr="00A84C84">
        <w:t>Klinik</w:t>
      </w:r>
      <w:proofErr w:type="spellEnd"/>
      <w:r w:rsidRPr="00A84C84">
        <w:t xml:space="preserve">, </w:t>
      </w:r>
      <w:proofErr w:type="spellStart"/>
      <w:r w:rsidRPr="00A84C84">
        <w:t>Asisten</w:t>
      </w:r>
      <w:proofErr w:type="spellEnd"/>
      <w:r w:rsidRPr="00A84C84">
        <w:t xml:space="preserve"> </w:t>
      </w:r>
      <w:proofErr w:type="spellStart"/>
      <w:r w:rsidRPr="00A84C84">
        <w:t>Poli</w:t>
      </w:r>
      <w:proofErr w:type="spellEnd"/>
      <w:r w:rsidRPr="00A84C84">
        <w:t xml:space="preserve"> THTKL.</w:t>
      </w:r>
    </w:p>
    <w:p w14:paraId="6C3A4B49" w14:textId="1C7168C5" w:rsidR="00A84C84" w:rsidRPr="00A84C84" w:rsidRDefault="00A84C84" w:rsidP="00A84C84">
      <w:pPr>
        <w:pStyle w:val="ListParagraph"/>
        <w:numPr>
          <w:ilvl w:val="0"/>
          <w:numId w:val="3"/>
        </w:numPr>
        <w:spacing w:line="360" w:lineRule="auto"/>
        <w:jc w:val="both"/>
      </w:pPr>
      <w:r w:rsidRPr="00A84C84">
        <w:t xml:space="preserve">Tim </w:t>
      </w:r>
      <w:proofErr w:type="spellStart"/>
      <w:r w:rsidRPr="00A84C84">
        <w:t>Dosen</w:t>
      </w:r>
      <w:proofErr w:type="spellEnd"/>
      <w:r w:rsidRPr="00A84C84">
        <w:t xml:space="preserve"> FK UM</w:t>
      </w:r>
      <w:r>
        <w:t>P</w:t>
      </w:r>
      <w:r w:rsidRPr="00A84C84">
        <w:t>: M</w:t>
      </w:r>
      <w:r w:rsidR="00E97DAF">
        <w:t>uhammad</w:t>
      </w:r>
      <w:r w:rsidRPr="00A84C84">
        <w:t xml:space="preserve"> Luthfi </w:t>
      </w:r>
      <w:proofErr w:type="spellStart"/>
      <w:r>
        <w:t>Almanfaluthi</w:t>
      </w:r>
      <w:proofErr w:type="spellEnd"/>
      <w:r w:rsidR="00E97DAF">
        <w:t xml:space="preserve">, Muhammad </w:t>
      </w:r>
      <w:proofErr w:type="spellStart"/>
      <w:r w:rsidR="00E97DAF">
        <w:t>Fadhol</w:t>
      </w:r>
      <w:proofErr w:type="spellEnd"/>
      <w:r w:rsidR="00E97DAF">
        <w:t xml:space="preserve"> </w:t>
      </w:r>
      <w:proofErr w:type="spellStart"/>
      <w:r w:rsidR="00E97DAF">
        <w:t>Romdhoni</w:t>
      </w:r>
      <w:proofErr w:type="spellEnd"/>
    </w:p>
    <w:p w14:paraId="1B9CBE79" w14:textId="2423047E" w:rsidR="00A23E90" w:rsidRPr="00A84C84" w:rsidRDefault="00A23E90" w:rsidP="00A84C84">
      <w:pPr>
        <w:pStyle w:val="ListParagraph"/>
        <w:numPr>
          <w:ilvl w:val="0"/>
          <w:numId w:val="3"/>
        </w:numPr>
        <w:spacing w:line="360" w:lineRule="auto"/>
        <w:jc w:val="both"/>
      </w:pPr>
      <w:r w:rsidRPr="00A84C84">
        <w:t>Tim Admin F</w:t>
      </w:r>
      <w:r w:rsidR="00A84C84" w:rsidRPr="00A84C84">
        <w:t>K UMP</w:t>
      </w:r>
      <w:r w:rsidRPr="00A84C84">
        <w:t xml:space="preserve">: </w:t>
      </w:r>
      <w:r w:rsidR="00A84C84" w:rsidRPr="00A84C84">
        <w:t xml:space="preserve">Habib </w:t>
      </w:r>
      <w:proofErr w:type="spellStart"/>
      <w:r w:rsidR="00A84C84" w:rsidRPr="00A84C84">
        <w:t>Fuady</w:t>
      </w:r>
      <w:proofErr w:type="spellEnd"/>
      <w:r w:rsidR="00A84C84" w:rsidRPr="00A84C84">
        <w:t xml:space="preserve"> </w:t>
      </w:r>
      <w:proofErr w:type="spellStart"/>
      <w:r w:rsidR="00A84C84" w:rsidRPr="00A84C84">
        <w:t>Rasyid</w:t>
      </w:r>
      <w:proofErr w:type="spellEnd"/>
      <w:r w:rsidR="00A84C84" w:rsidRPr="00A84C84">
        <w:t xml:space="preserve">, </w:t>
      </w:r>
      <w:proofErr w:type="spellStart"/>
      <w:r w:rsidRPr="00A84C84">
        <w:t>Resi</w:t>
      </w:r>
      <w:proofErr w:type="spellEnd"/>
      <w:r w:rsidRPr="00A84C84">
        <w:t xml:space="preserve"> Jiwa </w:t>
      </w:r>
      <w:proofErr w:type="spellStart"/>
      <w:r w:rsidRPr="00A84C84">
        <w:t>Kasatria</w:t>
      </w:r>
      <w:proofErr w:type="spellEnd"/>
      <w:r w:rsidR="00A84C84" w:rsidRPr="00A84C84">
        <w:t>.</w:t>
      </w:r>
    </w:p>
    <w:p w14:paraId="672D930C" w14:textId="098A8C66" w:rsidR="00A23E90" w:rsidRPr="00A84C84" w:rsidRDefault="00A23E90" w:rsidP="00A84C84">
      <w:pPr>
        <w:pStyle w:val="ListParagraph"/>
        <w:numPr>
          <w:ilvl w:val="0"/>
          <w:numId w:val="3"/>
        </w:numPr>
        <w:spacing w:line="360" w:lineRule="auto"/>
        <w:jc w:val="both"/>
      </w:pPr>
      <w:r w:rsidRPr="00A84C84">
        <w:t xml:space="preserve">Tim </w:t>
      </w:r>
      <w:proofErr w:type="spellStart"/>
      <w:r w:rsidR="00A84C84" w:rsidRPr="00A84C84">
        <w:t>Mahasiswa</w:t>
      </w:r>
      <w:proofErr w:type="spellEnd"/>
      <w:r w:rsidR="00A84C84" w:rsidRPr="00A84C84">
        <w:t xml:space="preserve"> FK UMP</w:t>
      </w:r>
      <w:r w:rsidRPr="00A84C84">
        <w:t>:</w:t>
      </w:r>
      <w:r w:rsidRPr="00A84C84">
        <w:rPr>
          <w:color w:val="000000"/>
        </w:rPr>
        <w:t xml:space="preserve"> </w:t>
      </w:r>
      <w:r w:rsidRPr="00A84C84">
        <w:rPr>
          <w:color w:val="000000"/>
        </w:rPr>
        <w:t xml:space="preserve">Iqbal Fattah </w:t>
      </w:r>
      <w:proofErr w:type="spellStart"/>
      <w:r w:rsidRPr="00A84C84">
        <w:rPr>
          <w:color w:val="000000"/>
        </w:rPr>
        <w:t>Bagastaradjasha</w:t>
      </w:r>
      <w:proofErr w:type="spellEnd"/>
      <w:r w:rsidRPr="00A84C84">
        <w:rPr>
          <w:color w:val="000000"/>
        </w:rPr>
        <w:t xml:space="preserve">, </w:t>
      </w:r>
      <w:r w:rsidRPr="00A84C84">
        <w:rPr>
          <w:color w:val="000000"/>
        </w:rPr>
        <w:t>Muhammad Iqbal</w:t>
      </w:r>
      <w:r w:rsidR="00A84C84" w:rsidRPr="00A84C84">
        <w:rPr>
          <w:color w:val="000000"/>
        </w:rPr>
        <w:t>.</w:t>
      </w:r>
    </w:p>
    <w:p w14:paraId="72876BFD" w14:textId="69828C00" w:rsidR="00A84C84" w:rsidRDefault="00A84C84" w:rsidP="00A84C84">
      <w:pPr>
        <w:spacing w:line="360" w:lineRule="auto"/>
        <w:jc w:val="both"/>
      </w:pPr>
    </w:p>
    <w:p w14:paraId="5041D4B5" w14:textId="77777777" w:rsidR="00A84C84" w:rsidRPr="00A84C84" w:rsidRDefault="00A84C84" w:rsidP="00A84C84">
      <w:pPr>
        <w:spacing w:line="360" w:lineRule="auto"/>
        <w:jc w:val="both"/>
      </w:pPr>
    </w:p>
    <w:p w14:paraId="3D10D676" w14:textId="444F98D8" w:rsidR="00AD4322" w:rsidRPr="00AD4322" w:rsidRDefault="00AD4322" w:rsidP="00AD4322">
      <w:pPr>
        <w:spacing w:line="360" w:lineRule="auto"/>
        <w:jc w:val="both"/>
        <w:rPr>
          <w:rFonts w:ascii="Times New Roman" w:hAnsi="Times New Roman" w:cs="Times New Roman"/>
          <w:b/>
          <w:bCs/>
          <w:sz w:val="24"/>
          <w:szCs w:val="24"/>
        </w:rPr>
      </w:pPr>
      <w:r w:rsidRPr="00AD4322">
        <w:rPr>
          <w:rFonts w:ascii="Times New Roman" w:hAnsi="Times New Roman" w:cs="Times New Roman"/>
          <w:b/>
          <w:bCs/>
          <w:sz w:val="24"/>
          <w:szCs w:val="24"/>
        </w:rPr>
        <w:lastRenderedPageBreak/>
        <w:t>Daftar Pustaka</w:t>
      </w:r>
    </w:p>
    <w:p w14:paraId="36951941" w14:textId="6B10F6CB" w:rsidR="002F461E" w:rsidRPr="002F461E" w:rsidRDefault="00AD4322"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AD4322">
        <w:rPr>
          <w:rFonts w:ascii="Times New Roman" w:hAnsi="Times New Roman" w:cs="Times New Roman"/>
          <w:sz w:val="20"/>
          <w:szCs w:val="20"/>
        </w:rPr>
        <w:fldChar w:fldCharType="begin" w:fldLock="1"/>
      </w:r>
      <w:r w:rsidRPr="00AD4322">
        <w:rPr>
          <w:rFonts w:ascii="Times New Roman" w:hAnsi="Times New Roman" w:cs="Times New Roman"/>
          <w:sz w:val="20"/>
          <w:szCs w:val="20"/>
        </w:rPr>
        <w:instrText xml:space="preserve">ADDIN Mendeley Bibliography CSL_BIBLIOGRAPHY </w:instrText>
      </w:r>
      <w:r w:rsidRPr="00AD4322">
        <w:rPr>
          <w:rFonts w:ascii="Times New Roman" w:hAnsi="Times New Roman" w:cs="Times New Roman"/>
          <w:sz w:val="20"/>
          <w:szCs w:val="20"/>
        </w:rPr>
        <w:fldChar w:fldCharType="separate"/>
      </w:r>
      <w:r w:rsidR="002F461E" w:rsidRPr="002F461E">
        <w:rPr>
          <w:rFonts w:ascii="Times New Roman" w:hAnsi="Times New Roman" w:cs="Times New Roman"/>
          <w:noProof/>
          <w:sz w:val="20"/>
          <w:szCs w:val="24"/>
        </w:rPr>
        <w:t xml:space="preserve">1. </w:t>
      </w:r>
      <w:r w:rsidR="002F461E" w:rsidRPr="002F461E">
        <w:rPr>
          <w:rFonts w:ascii="Times New Roman" w:hAnsi="Times New Roman" w:cs="Times New Roman"/>
          <w:noProof/>
          <w:sz w:val="20"/>
          <w:szCs w:val="24"/>
        </w:rPr>
        <w:tab/>
        <w:t xml:space="preserve">Lazim NM, Abdullah B. An Evidence-Based Approach to the Management of Nasopharyngeal Cancer. Baharudin A, Anusha B, Lazim NM, editors. 2020. 11–30 p. </w:t>
      </w:r>
    </w:p>
    <w:p w14:paraId="10F69A53"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2. </w:t>
      </w:r>
      <w:r w:rsidRPr="002F461E">
        <w:rPr>
          <w:rFonts w:ascii="Times New Roman" w:hAnsi="Times New Roman" w:cs="Times New Roman"/>
          <w:noProof/>
          <w:sz w:val="20"/>
          <w:szCs w:val="24"/>
        </w:rPr>
        <w:tab/>
        <w:t xml:space="preserve">Mahdavifar N, Towhidi F, Makhsosi BR, Pakzad R, Moini A, Ahmadi A, et al. Incidence and Mortality of Nasopharynx Cancer and Its Relationship With Human Development Index in the World in 2012. World J Oncol. 2016;7(5–6):109–18. </w:t>
      </w:r>
    </w:p>
    <w:p w14:paraId="5F8B0F1C"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3. </w:t>
      </w:r>
      <w:r w:rsidRPr="002F461E">
        <w:rPr>
          <w:rFonts w:ascii="Times New Roman" w:hAnsi="Times New Roman" w:cs="Times New Roman"/>
          <w:noProof/>
          <w:sz w:val="20"/>
          <w:szCs w:val="24"/>
        </w:rPr>
        <w:tab/>
        <w:t xml:space="preserve">Adham M, Kurniawan AN, Muhtadi AI, Roezin A, Hermani B, Gondhowiardjo S, et al. Nasopharyngeal carcinoma in indonesia: Epidemiology, incidence, signs, and symptoms at presentation. Chin J Cancer. 2012;31(4):185–96. </w:t>
      </w:r>
    </w:p>
    <w:p w14:paraId="74CF7E69"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4. </w:t>
      </w:r>
      <w:r w:rsidRPr="002F461E">
        <w:rPr>
          <w:rFonts w:ascii="Times New Roman" w:hAnsi="Times New Roman" w:cs="Times New Roman"/>
          <w:noProof/>
          <w:sz w:val="20"/>
          <w:szCs w:val="24"/>
        </w:rPr>
        <w:tab/>
        <w:t xml:space="preserve">Bray F, Ferlay J, Soerjomataram I, Siegel RL, Torre LA, Jemal A. Global cancer statistics 2018: GLOBOCAN estimates of incidence and mortality worldwide for 36 cancers in 185 countries. CA Cancer J Clin. 2018;68(6):394–424. </w:t>
      </w:r>
    </w:p>
    <w:p w14:paraId="573168CC"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5. </w:t>
      </w:r>
      <w:r w:rsidRPr="002F461E">
        <w:rPr>
          <w:rFonts w:ascii="Times New Roman" w:hAnsi="Times New Roman" w:cs="Times New Roman"/>
          <w:noProof/>
          <w:sz w:val="20"/>
          <w:szCs w:val="24"/>
        </w:rPr>
        <w:tab/>
        <w:t xml:space="preserve">Gondhowiardjo SA, Meidania L, Senoaji F, Sekarutami SM. Nasopharyngeal Carcinoma Profile in dr. Cipto Mangunkusumo Hospital Year 2013. Radioter Onkol Indones. 2020;10(1):8–11. </w:t>
      </w:r>
    </w:p>
    <w:p w14:paraId="1D8E2E42"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6. </w:t>
      </w:r>
      <w:r w:rsidRPr="002F461E">
        <w:rPr>
          <w:rFonts w:ascii="Times New Roman" w:hAnsi="Times New Roman" w:cs="Times New Roman"/>
          <w:noProof/>
          <w:sz w:val="20"/>
          <w:szCs w:val="24"/>
        </w:rPr>
        <w:tab/>
        <w:t xml:space="preserve">Network NCoC. NCCN Clinical Practice Guideline in Oncology Head and neck cancers Version 1.2021. NCCN.org. 2021. </w:t>
      </w:r>
    </w:p>
    <w:p w14:paraId="72914CC6"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7. </w:t>
      </w:r>
      <w:r w:rsidRPr="002F461E">
        <w:rPr>
          <w:rFonts w:ascii="Times New Roman" w:hAnsi="Times New Roman" w:cs="Times New Roman"/>
          <w:noProof/>
          <w:sz w:val="20"/>
          <w:szCs w:val="24"/>
        </w:rPr>
        <w:tab/>
        <w:t xml:space="preserve">PP PERHATI-KL. Panduan Praktik Klinis THT-KL. Vol. 2. 2016. 16–19 p. </w:t>
      </w:r>
    </w:p>
    <w:p w14:paraId="4B3B4DFA"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8. </w:t>
      </w:r>
      <w:r w:rsidRPr="002F461E">
        <w:rPr>
          <w:rFonts w:ascii="Times New Roman" w:hAnsi="Times New Roman" w:cs="Times New Roman"/>
          <w:noProof/>
          <w:sz w:val="20"/>
          <w:szCs w:val="24"/>
        </w:rPr>
        <w:tab/>
        <w:t>Hanahan D, Weinberg RA. Hallmarks of cancer: The next generation. Cell [Internet]. 2011;144(5):646–74. Available from: http://dx.doi.org/10.1016/j.cell.2011.02.013</w:t>
      </w:r>
    </w:p>
    <w:p w14:paraId="3D2B4803"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9. </w:t>
      </w:r>
      <w:r w:rsidRPr="002F461E">
        <w:rPr>
          <w:rFonts w:ascii="Times New Roman" w:hAnsi="Times New Roman" w:cs="Times New Roman"/>
          <w:noProof/>
          <w:sz w:val="20"/>
          <w:szCs w:val="24"/>
        </w:rPr>
        <w:tab/>
        <w:t xml:space="preserve">Ribatti D. Inflammation and Cancer. In: Inflammation and Angiogenesis. Springer, Cham; 2017. p. 17–24. </w:t>
      </w:r>
    </w:p>
    <w:p w14:paraId="40766CE9"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10. </w:t>
      </w:r>
      <w:r w:rsidRPr="002F461E">
        <w:rPr>
          <w:rFonts w:ascii="Times New Roman" w:hAnsi="Times New Roman" w:cs="Times New Roman"/>
          <w:noProof/>
          <w:sz w:val="20"/>
          <w:szCs w:val="24"/>
        </w:rPr>
        <w:tab/>
        <w:t xml:space="preserve">Yang S, Zhao K, Ding X, Jiang H, Lu H. Prognostic significance of hematological markers for patients with nasopharyngeal carcinoma: A meta-analysis. J Cancer. 2019;10(11):2568–77. </w:t>
      </w:r>
    </w:p>
    <w:p w14:paraId="1A3D0DF9"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11. </w:t>
      </w:r>
      <w:r w:rsidRPr="002F461E">
        <w:rPr>
          <w:rFonts w:ascii="Times New Roman" w:hAnsi="Times New Roman" w:cs="Times New Roman"/>
          <w:noProof/>
          <w:sz w:val="20"/>
          <w:szCs w:val="24"/>
        </w:rPr>
        <w:tab/>
        <w:t xml:space="preserve">Hu G, Sun W, Zhang L, Luo M, Hu G, Mei Q, et al. Pretreatment hematologic markers as prognostic factors in patients with nasopharyngeal carcinoma: Neutrophil-lymphocyte ratio and platelet-lymphocyte ratio. Head Neck. 2016;38(February):E1332–40. </w:t>
      </w:r>
    </w:p>
    <w:p w14:paraId="334DCF71"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12. </w:t>
      </w:r>
      <w:r w:rsidRPr="002F461E">
        <w:rPr>
          <w:rFonts w:ascii="Times New Roman" w:hAnsi="Times New Roman" w:cs="Times New Roman"/>
          <w:noProof/>
          <w:sz w:val="20"/>
          <w:szCs w:val="24"/>
        </w:rPr>
        <w:tab/>
        <w:t xml:space="preserve">Kilincalp S, Çoban Ş, Akinci H, Hamamc M, Karaahmet F, Coşkun Y, et al. Neutrophil/lymphocyte ratio, platelet/lymphocyte ratio, and mean platelet volume as potential biomarkers for early detection and monitoring of colorectal adenocarcinoma. Eur J Cancer Prev. 2015;24(4):328–33. </w:t>
      </w:r>
    </w:p>
    <w:p w14:paraId="4B1BEE8D"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13. </w:t>
      </w:r>
      <w:r w:rsidRPr="002F461E">
        <w:rPr>
          <w:rFonts w:ascii="Times New Roman" w:hAnsi="Times New Roman" w:cs="Times New Roman"/>
          <w:noProof/>
          <w:sz w:val="20"/>
          <w:szCs w:val="24"/>
        </w:rPr>
        <w:tab/>
        <w:t xml:space="preserve">MahuI B. Amin, editor. AJCC Cancer Manual Staging. 8th ed. Chicago: Springer; 2017. </w:t>
      </w:r>
    </w:p>
    <w:p w14:paraId="099B8286"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14. </w:t>
      </w:r>
      <w:r w:rsidRPr="002F461E">
        <w:rPr>
          <w:rFonts w:ascii="Times New Roman" w:hAnsi="Times New Roman" w:cs="Times New Roman"/>
          <w:noProof/>
          <w:sz w:val="20"/>
          <w:szCs w:val="24"/>
        </w:rPr>
        <w:tab/>
        <w:t xml:space="preserve">Asnir RA, Yudhistira A, Friliandita N. Profile of Nasopharyngeal Cancer Patients in Otorhinolaryngology-HNS Department Haji Adam Malik General Hospital Medan During 2014-2016. 2020;02(03):79–81. </w:t>
      </w:r>
    </w:p>
    <w:p w14:paraId="2DEB065A"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15. </w:t>
      </w:r>
      <w:r w:rsidRPr="002F461E">
        <w:rPr>
          <w:rFonts w:ascii="Times New Roman" w:hAnsi="Times New Roman" w:cs="Times New Roman"/>
          <w:noProof/>
          <w:sz w:val="20"/>
          <w:szCs w:val="24"/>
        </w:rPr>
        <w:tab/>
        <w:t xml:space="preserve">Nurada IGK, Ayu IG, Wahyu P. Characteristic of Nasopharyngeal Carcinoma Patients in Mangusada General Hospital in January-December 2019. 2020;02(04):112–4. </w:t>
      </w:r>
    </w:p>
    <w:p w14:paraId="2C5F82F6"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16. </w:t>
      </w:r>
      <w:r w:rsidRPr="002F461E">
        <w:rPr>
          <w:rFonts w:ascii="Times New Roman" w:hAnsi="Times New Roman" w:cs="Times New Roman"/>
          <w:noProof/>
          <w:sz w:val="20"/>
          <w:szCs w:val="24"/>
        </w:rPr>
        <w:tab/>
        <w:t xml:space="preserve">Bachri A, Jufri NI. Retrospective Review of Nasofaring Carcinoma in Wahidin Sudirohusodo General Hospital on 2011-2019 Period. Int J Nasopharyngeal Carcinoma. 2020;02(03):82–4. </w:t>
      </w:r>
    </w:p>
    <w:p w14:paraId="672FF028"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szCs w:val="24"/>
        </w:rPr>
      </w:pPr>
      <w:r w:rsidRPr="002F461E">
        <w:rPr>
          <w:rFonts w:ascii="Times New Roman" w:hAnsi="Times New Roman" w:cs="Times New Roman"/>
          <w:noProof/>
          <w:sz w:val="20"/>
          <w:szCs w:val="24"/>
        </w:rPr>
        <w:t xml:space="preserve">17. </w:t>
      </w:r>
      <w:r w:rsidRPr="002F461E">
        <w:rPr>
          <w:rFonts w:ascii="Times New Roman" w:hAnsi="Times New Roman" w:cs="Times New Roman"/>
          <w:noProof/>
          <w:sz w:val="20"/>
          <w:szCs w:val="24"/>
        </w:rPr>
        <w:tab/>
        <w:t xml:space="preserve">Handayani R, Afriani Dewi Y, Madani DZ. Prevalence of Nasopharyngeal Carcinoma Patients in Departement of Orl-Hns Hasan Sadikin General Hospital 2010 -2017. Int J Nasopharyngeal Carcinoma. </w:t>
      </w:r>
      <w:r w:rsidRPr="002F461E">
        <w:rPr>
          <w:rFonts w:ascii="Times New Roman" w:hAnsi="Times New Roman" w:cs="Times New Roman"/>
          <w:noProof/>
          <w:sz w:val="20"/>
          <w:szCs w:val="24"/>
        </w:rPr>
        <w:lastRenderedPageBreak/>
        <w:t xml:space="preserve">2020;2(01):01–3. </w:t>
      </w:r>
    </w:p>
    <w:p w14:paraId="351D11BD" w14:textId="77777777" w:rsidR="002F461E" w:rsidRPr="002F461E" w:rsidRDefault="002F461E" w:rsidP="002F461E">
      <w:pPr>
        <w:widowControl w:val="0"/>
        <w:autoSpaceDE w:val="0"/>
        <w:autoSpaceDN w:val="0"/>
        <w:adjustRightInd w:val="0"/>
        <w:spacing w:after="0" w:line="360" w:lineRule="auto"/>
        <w:ind w:left="640" w:hanging="640"/>
        <w:rPr>
          <w:rFonts w:ascii="Times New Roman" w:hAnsi="Times New Roman" w:cs="Times New Roman"/>
          <w:noProof/>
          <w:sz w:val="20"/>
        </w:rPr>
      </w:pPr>
      <w:r w:rsidRPr="002F461E">
        <w:rPr>
          <w:rFonts w:ascii="Times New Roman" w:hAnsi="Times New Roman" w:cs="Times New Roman"/>
          <w:noProof/>
          <w:sz w:val="20"/>
          <w:szCs w:val="24"/>
        </w:rPr>
        <w:t xml:space="preserve">18. </w:t>
      </w:r>
      <w:r w:rsidRPr="002F461E">
        <w:rPr>
          <w:rFonts w:ascii="Times New Roman" w:hAnsi="Times New Roman" w:cs="Times New Roman"/>
          <w:noProof/>
          <w:sz w:val="20"/>
          <w:szCs w:val="24"/>
        </w:rPr>
        <w:tab/>
        <w:t xml:space="preserve">Lin YH, Chang KP, Lin YS, Chang TS. Pretreatment combination of platelet counts and neutrophil-lymphocyte ratio predicts survival of nasopharyngeal cancer patients receiving intensity-modulated radiotherapy. Onco Targets Ther. 2017;10:2751–60. </w:t>
      </w:r>
    </w:p>
    <w:p w14:paraId="53E917EA" w14:textId="08075FD6" w:rsidR="00FB4839" w:rsidRPr="00AD4322" w:rsidRDefault="00AD4322" w:rsidP="00AD4322">
      <w:pPr>
        <w:spacing w:after="0" w:line="360" w:lineRule="auto"/>
        <w:jc w:val="both"/>
        <w:rPr>
          <w:rFonts w:ascii="Times New Roman" w:hAnsi="Times New Roman" w:cs="Times New Roman"/>
          <w:sz w:val="20"/>
          <w:szCs w:val="20"/>
        </w:rPr>
      </w:pPr>
      <w:r w:rsidRPr="00AD4322">
        <w:rPr>
          <w:rFonts w:ascii="Times New Roman" w:hAnsi="Times New Roman" w:cs="Times New Roman"/>
          <w:sz w:val="20"/>
          <w:szCs w:val="20"/>
        </w:rPr>
        <w:fldChar w:fldCharType="end"/>
      </w:r>
    </w:p>
    <w:sectPr w:rsidR="00FB4839" w:rsidRPr="00AD43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D6515"/>
    <w:multiLevelType w:val="hybridMultilevel"/>
    <w:tmpl w:val="2B5EFF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A097416"/>
    <w:multiLevelType w:val="multilevel"/>
    <w:tmpl w:val="4A097416"/>
    <w:lvl w:ilvl="0">
      <w:start w:val="5"/>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E32604"/>
    <w:multiLevelType w:val="hybridMultilevel"/>
    <w:tmpl w:val="532C4D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07"/>
    <w:rsid w:val="00013AC7"/>
    <w:rsid w:val="00091CA0"/>
    <w:rsid w:val="000A2992"/>
    <w:rsid w:val="000A593B"/>
    <w:rsid w:val="00103CA6"/>
    <w:rsid w:val="001367B5"/>
    <w:rsid w:val="00162397"/>
    <w:rsid w:val="00170039"/>
    <w:rsid w:val="001B25B6"/>
    <w:rsid w:val="001C3461"/>
    <w:rsid w:val="002F461E"/>
    <w:rsid w:val="00335495"/>
    <w:rsid w:val="00335923"/>
    <w:rsid w:val="003654A2"/>
    <w:rsid w:val="00376905"/>
    <w:rsid w:val="003B6F80"/>
    <w:rsid w:val="00415D7F"/>
    <w:rsid w:val="0043142D"/>
    <w:rsid w:val="00446013"/>
    <w:rsid w:val="004758C8"/>
    <w:rsid w:val="0048738B"/>
    <w:rsid w:val="004E1E7C"/>
    <w:rsid w:val="00544AC5"/>
    <w:rsid w:val="005621A8"/>
    <w:rsid w:val="00577B6F"/>
    <w:rsid w:val="00606F51"/>
    <w:rsid w:val="00607AB7"/>
    <w:rsid w:val="00627017"/>
    <w:rsid w:val="0063544F"/>
    <w:rsid w:val="00653D78"/>
    <w:rsid w:val="00663A25"/>
    <w:rsid w:val="006D593D"/>
    <w:rsid w:val="00762D66"/>
    <w:rsid w:val="007645DF"/>
    <w:rsid w:val="00782963"/>
    <w:rsid w:val="007E192D"/>
    <w:rsid w:val="00824717"/>
    <w:rsid w:val="008A4C5C"/>
    <w:rsid w:val="00A123B0"/>
    <w:rsid w:val="00A23E90"/>
    <w:rsid w:val="00A44493"/>
    <w:rsid w:val="00A84C84"/>
    <w:rsid w:val="00AC3D07"/>
    <w:rsid w:val="00AD4322"/>
    <w:rsid w:val="00AE7032"/>
    <w:rsid w:val="00AF5473"/>
    <w:rsid w:val="00AF7CED"/>
    <w:rsid w:val="00B5468B"/>
    <w:rsid w:val="00BB0238"/>
    <w:rsid w:val="00BE5040"/>
    <w:rsid w:val="00C219FF"/>
    <w:rsid w:val="00C76B48"/>
    <w:rsid w:val="00C87BDA"/>
    <w:rsid w:val="00C90570"/>
    <w:rsid w:val="00D04D46"/>
    <w:rsid w:val="00D320E4"/>
    <w:rsid w:val="00D80EF2"/>
    <w:rsid w:val="00D92134"/>
    <w:rsid w:val="00D9752B"/>
    <w:rsid w:val="00DC1CB5"/>
    <w:rsid w:val="00DC7A93"/>
    <w:rsid w:val="00DF6154"/>
    <w:rsid w:val="00E20E49"/>
    <w:rsid w:val="00E91BFA"/>
    <w:rsid w:val="00E97DAF"/>
    <w:rsid w:val="00EC143B"/>
    <w:rsid w:val="00F1542B"/>
    <w:rsid w:val="00F43881"/>
    <w:rsid w:val="00FB4839"/>
    <w:rsid w:val="00FD1831"/>
    <w:rsid w:val="00FD25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31AB"/>
  <w15:chartTrackingRefBased/>
  <w15:docId w15:val="{60617BD8-EFEB-4C3C-BE0A-C9A28AF2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6013"/>
    <w:pPr>
      <w:spacing w:after="0" w:line="240" w:lineRule="auto"/>
    </w:pPr>
    <w:rPr>
      <w:lang w:val="id-ID"/>
    </w:rPr>
  </w:style>
  <w:style w:type="character" w:customStyle="1" w:styleId="NoSpacingChar">
    <w:name w:val="No Spacing Char"/>
    <w:basedOn w:val="DefaultParagraphFont"/>
    <w:link w:val="NoSpacing"/>
    <w:uiPriority w:val="1"/>
    <w:rsid w:val="00446013"/>
    <w:rPr>
      <w:lang w:val="id-ID"/>
    </w:rPr>
  </w:style>
  <w:style w:type="paragraph" w:styleId="ListParagraph">
    <w:name w:val="List Paragraph"/>
    <w:basedOn w:val="Normal"/>
    <w:uiPriority w:val="34"/>
    <w:qFormat/>
    <w:rsid w:val="00C76B48"/>
    <w:pPr>
      <w:spacing w:after="0" w:line="240" w:lineRule="auto"/>
      <w:ind w:left="720"/>
      <w:contextualSpacing/>
    </w:pPr>
    <w:rPr>
      <w:rFonts w:ascii="Times New Roman" w:eastAsia="SimSun" w:hAnsi="Times New Roman" w:cs="Times New Roman"/>
      <w:sz w:val="24"/>
      <w:szCs w:val="24"/>
      <w:lang w:val="en-US" w:eastAsia="zh-CN"/>
    </w:rPr>
  </w:style>
  <w:style w:type="paragraph" w:styleId="NormalWeb">
    <w:name w:val="Normal (Web)"/>
    <w:basedOn w:val="Normal"/>
    <w:uiPriority w:val="99"/>
    <w:semiHidden/>
    <w:unhideWhenUsed/>
    <w:rsid w:val="00A444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449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86822">
      <w:bodyDiv w:val="1"/>
      <w:marLeft w:val="0"/>
      <w:marRight w:val="0"/>
      <w:marTop w:val="0"/>
      <w:marBottom w:val="0"/>
      <w:divBdr>
        <w:top w:val="none" w:sz="0" w:space="0" w:color="auto"/>
        <w:left w:val="none" w:sz="0" w:space="0" w:color="auto"/>
        <w:bottom w:val="none" w:sz="0" w:space="0" w:color="auto"/>
        <w:right w:val="none" w:sz="0" w:space="0" w:color="auto"/>
      </w:divBdr>
    </w:div>
    <w:div w:id="16597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2CE3B1B-EEAD-4B37-A8B7-69E21FE2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8</Pages>
  <Words>9705</Words>
  <Characters>55321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 Kadarullah</dc:creator>
  <cp:keywords/>
  <dc:description/>
  <cp:lastModifiedBy>Oke Kadarullah</cp:lastModifiedBy>
  <cp:revision>4</cp:revision>
  <cp:lastPrinted>2021-08-02T13:34:00Z</cp:lastPrinted>
  <dcterms:created xsi:type="dcterms:W3CDTF">2021-08-02T13:45:00Z</dcterms:created>
  <dcterms:modified xsi:type="dcterms:W3CDTF">2021-08-03T11:24:00Z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32cdb8a9-0bdf-3aaa-b98d-c0868092ecbb</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