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061F" w:rsidRPr="00C55B9C" w:rsidRDefault="00F3061F" w:rsidP="00C55B9C">
      <w:pPr>
        <w:widowControl w:val="0"/>
        <w:spacing w:after="0" w:line="240" w:lineRule="auto"/>
        <w:jc w:val="center"/>
        <w:rPr>
          <w:rFonts w:ascii="Palatino Linotype" w:eastAsia="SimSun" w:hAnsi="Palatino Linotype" w:cs="Times New Roman"/>
          <w:b/>
          <w:bCs/>
          <w:kern w:val="2"/>
          <w:sz w:val="28"/>
          <w:szCs w:val="28"/>
          <w:lang w:eastAsia="zh-CN"/>
        </w:rPr>
      </w:pPr>
      <w:r w:rsidRPr="00C55B9C">
        <w:rPr>
          <w:rFonts w:ascii="Palatino Linotype" w:eastAsia="SimSun" w:hAnsi="Palatino Linotype" w:cs="Times New Roman"/>
          <w:b/>
          <w:bCs/>
          <w:kern w:val="2"/>
          <w:sz w:val="28"/>
          <w:szCs w:val="28"/>
          <w:lang w:eastAsia="zh-CN"/>
        </w:rPr>
        <w:t xml:space="preserve">ULAMA DAN PROBLEM FATWA KONTEMPORER: </w:t>
      </w:r>
    </w:p>
    <w:p w:rsidR="00F3061F" w:rsidRPr="00C55B9C" w:rsidRDefault="00F3061F" w:rsidP="00C55B9C">
      <w:pPr>
        <w:widowControl w:val="0"/>
        <w:spacing w:after="0" w:line="240" w:lineRule="auto"/>
        <w:jc w:val="center"/>
        <w:rPr>
          <w:rFonts w:ascii="Palatino Linotype" w:eastAsia="SimSun" w:hAnsi="Palatino Linotype" w:cs="Times New Roman"/>
          <w:b/>
          <w:bCs/>
          <w:kern w:val="2"/>
          <w:sz w:val="28"/>
          <w:szCs w:val="28"/>
          <w:lang w:eastAsia="zh-CN"/>
        </w:rPr>
      </w:pPr>
      <w:r w:rsidRPr="00C55B9C">
        <w:rPr>
          <w:rFonts w:ascii="Palatino Linotype" w:eastAsia="SimSun" w:hAnsi="Palatino Linotype" w:cs="Times New Roman"/>
          <w:b/>
          <w:bCs/>
          <w:kern w:val="2"/>
          <w:sz w:val="28"/>
          <w:szCs w:val="28"/>
          <w:lang w:eastAsia="zh-CN"/>
        </w:rPr>
        <w:t xml:space="preserve">Mempertimbangkan Tawaran </w:t>
      </w:r>
      <w:r w:rsidR="00694D01" w:rsidRPr="00C55B9C">
        <w:rPr>
          <w:rFonts w:ascii="Palatino Linotype" w:eastAsia="SimSun" w:hAnsi="Palatino Linotype" w:cs="Times New Roman"/>
          <w:b/>
          <w:bCs/>
          <w:kern w:val="2"/>
          <w:sz w:val="28"/>
          <w:szCs w:val="28"/>
          <w:lang w:eastAsia="zh-CN"/>
        </w:rPr>
        <w:t xml:space="preserve">Metodologi Ijtihad </w:t>
      </w:r>
      <w:r w:rsidRPr="00C55B9C">
        <w:rPr>
          <w:rFonts w:ascii="Palatino Linotype" w:eastAsia="SimSun" w:hAnsi="Palatino Linotype" w:cs="Times New Roman"/>
          <w:b/>
          <w:bCs/>
          <w:kern w:val="2"/>
          <w:sz w:val="28"/>
          <w:szCs w:val="28"/>
          <w:lang w:eastAsia="zh-CN"/>
        </w:rPr>
        <w:t>M. Amin Abdullah, Khalid Abou al-Fadl, dan Jasser Auda</w:t>
      </w:r>
    </w:p>
    <w:p w:rsidR="00694D01" w:rsidRPr="00C55B9C" w:rsidRDefault="00694D01" w:rsidP="00694D01">
      <w:pPr>
        <w:rPr>
          <w:rFonts w:ascii="Palatino Linotype" w:hAnsi="Palatino Linotype"/>
        </w:rPr>
      </w:pPr>
    </w:p>
    <w:p w:rsidR="00694D01" w:rsidRPr="00C55B9C" w:rsidRDefault="00694D01" w:rsidP="00C55B9C">
      <w:pPr>
        <w:spacing w:after="0"/>
        <w:jc w:val="center"/>
        <w:rPr>
          <w:rFonts w:ascii="Palatino Linotype" w:hAnsi="Palatino Linotype" w:cs="Times New Roman"/>
          <w:sz w:val="24"/>
          <w:szCs w:val="24"/>
        </w:rPr>
      </w:pPr>
      <w:r w:rsidRPr="00C55B9C">
        <w:rPr>
          <w:rFonts w:ascii="Palatino Linotype" w:hAnsi="Palatino Linotype" w:cs="Times New Roman"/>
          <w:sz w:val="24"/>
          <w:szCs w:val="24"/>
        </w:rPr>
        <w:t>Agus Miswanto</w:t>
      </w:r>
    </w:p>
    <w:p w:rsidR="00694D01" w:rsidRPr="00C55B9C" w:rsidRDefault="00694D01" w:rsidP="00C55B9C">
      <w:pPr>
        <w:spacing w:after="0"/>
        <w:jc w:val="center"/>
        <w:rPr>
          <w:rFonts w:ascii="Palatino Linotype" w:hAnsi="Palatino Linotype" w:cs="Times New Roman"/>
          <w:sz w:val="24"/>
          <w:szCs w:val="24"/>
        </w:rPr>
      </w:pPr>
      <w:r w:rsidRPr="00C55B9C">
        <w:rPr>
          <w:rFonts w:ascii="Palatino Linotype" w:hAnsi="Palatino Linotype" w:cs="Times New Roman"/>
          <w:sz w:val="24"/>
          <w:szCs w:val="24"/>
        </w:rPr>
        <w:t>Fakultas Agama Islam Universitas Muhammadiyah Magelang</w:t>
      </w:r>
    </w:p>
    <w:p w:rsidR="00694D01" w:rsidRPr="00C55B9C" w:rsidRDefault="00694D01" w:rsidP="00C55B9C">
      <w:pPr>
        <w:spacing w:after="0"/>
        <w:jc w:val="center"/>
        <w:rPr>
          <w:rFonts w:ascii="Palatino Linotype" w:hAnsi="Palatino Linotype" w:cs="Times New Roman"/>
          <w:sz w:val="24"/>
          <w:szCs w:val="24"/>
        </w:rPr>
      </w:pPr>
      <w:r w:rsidRPr="00C55B9C">
        <w:rPr>
          <w:rFonts w:ascii="Palatino Linotype" w:hAnsi="Palatino Linotype" w:cs="Times New Roman"/>
          <w:sz w:val="24"/>
          <w:szCs w:val="24"/>
        </w:rPr>
        <w:t xml:space="preserve">Email: </w:t>
      </w:r>
      <w:hyperlink r:id="rId8" w:history="1">
        <w:r w:rsidRPr="00C55B9C">
          <w:rPr>
            <w:rStyle w:val="Hyperlink"/>
            <w:rFonts w:ascii="Palatino Linotype" w:hAnsi="Palatino Linotype" w:cs="Times New Roman"/>
            <w:sz w:val="24"/>
            <w:szCs w:val="24"/>
          </w:rPr>
          <w:t>agus_miswanto@ummgl.ac.id</w:t>
        </w:r>
      </w:hyperlink>
    </w:p>
    <w:p w:rsidR="00694D01" w:rsidRPr="00C55B9C" w:rsidRDefault="00694D01" w:rsidP="00694D01">
      <w:pPr>
        <w:rPr>
          <w:rFonts w:ascii="Palatino Linotype" w:hAnsi="Palatino Linotype"/>
        </w:rPr>
      </w:pPr>
    </w:p>
    <w:p w:rsidR="00694D01" w:rsidRPr="00C55B9C" w:rsidRDefault="007162F7" w:rsidP="00A53F8E">
      <w:pPr>
        <w:pStyle w:val="Heading2"/>
        <w:jc w:val="center"/>
        <w:rPr>
          <w:rFonts w:ascii="Palatino Linotype" w:hAnsi="Palatino Linotype"/>
          <w:b/>
          <w:bCs/>
          <w:color w:val="000000" w:themeColor="text1"/>
        </w:rPr>
      </w:pPr>
      <w:r w:rsidRPr="00C55B9C">
        <w:rPr>
          <w:rFonts w:ascii="Palatino Linotype" w:hAnsi="Palatino Linotype"/>
          <w:b/>
          <w:bCs/>
          <w:color w:val="000000" w:themeColor="text1"/>
        </w:rPr>
        <w:t>ABSTRAK</w:t>
      </w:r>
    </w:p>
    <w:p w:rsidR="00A35382" w:rsidRPr="00A769E1" w:rsidRDefault="00A769E1" w:rsidP="00A769E1">
      <w:pPr>
        <w:widowControl w:val="0"/>
        <w:autoSpaceDE w:val="0"/>
        <w:autoSpaceDN w:val="0"/>
        <w:adjustRightInd w:val="0"/>
        <w:spacing w:after="120" w:line="240" w:lineRule="auto"/>
        <w:ind w:right="-1"/>
        <w:jc w:val="both"/>
        <w:rPr>
          <w:rFonts w:ascii="Palatino Linotype" w:eastAsia="SimSun" w:hAnsi="Palatino Linotype" w:cs="Times New Roman"/>
          <w:spacing w:val="-7"/>
          <w:kern w:val="2"/>
          <w:sz w:val="20"/>
          <w:szCs w:val="20"/>
          <w:lang w:eastAsia="zh-CN"/>
        </w:rPr>
      </w:pPr>
      <w:r>
        <w:rPr>
          <w:rFonts w:ascii="Palatino Linotype" w:eastAsia="SimSun" w:hAnsi="Palatino Linotype" w:cs="Times New Roman"/>
          <w:spacing w:val="-7"/>
          <w:kern w:val="2"/>
          <w:sz w:val="20"/>
          <w:szCs w:val="20"/>
          <w:lang w:eastAsia="zh-CN"/>
        </w:rPr>
        <w:t>F</w:t>
      </w:r>
      <w:r w:rsidR="00FB1F19" w:rsidRPr="00C55B9C">
        <w:rPr>
          <w:rFonts w:ascii="Palatino Linotype" w:eastAsia="SimSun" w:hAnsi="Palatino Linotype" w:cs="Times New Roman"/>
          <w:spacing w:val="-7"/>
          <w:kern w:val="2"/>
          <w:sz w:val="20"/>
          <w:szCs w:val="20"/>
          <w:lang w:val="id-ID" w:eastAsia="zh-CN"/>
        </w:rPr>
        <w:t xml:space="preserve">atwa </w:t>
      </w:r>
      <w:r w:rsidR="00BA7706">
        <w:rPr>
          <w:rFonts w:ascii="Palatino Linotype" w:eastAsia="SimSun" w:hAnsi="Palatino Linotype" w:cs="Times New Roman"/>
          <w:spacing w:val="-7"/>
          <w:kern w:val="2"/>
          <w:sz w:val="20"/>
          <w:szCs w:val="20"/>
          <w:lang w:eastAsia="zh-CN"/>
        </w:rPr>
        <w:t xml:space="preserve">dalam hokum Islam, </w:t>
      </w:r>
      <w:r w:rsidR="00FB1F19" w:rsidRPr="00C55B9C">
        <w:rPr>
          <w:rFonts w:ascii="Palatino Linotype" w:eastAsia="SimSun" w:hAnsi="Palatino Linotype" w:cs="Times New Roman"/>
          <w:spacing w:val="-7"/>
          <w:kern w:val="2"/>
          <w:sz w:val="20"/>
          <w:szCs w:val="20"/>
          <w:lang w:val="id-ID" w:eastAsia="zh-CN"/>
        </w:rPr>
        <w:t xml:space="preserve">sesungguhnya </w:t>
      </w:r>
      <w:r>
        <w:rPr>
          <w:rFonts w:ascii="Palatino Linotype" w:eastAsia="SimSun" w:hAnsi="Palatino Linotype" w:cs="Times New Roman"/>
          <w:spacing w:val="-7"/>
          <w:kern w:val="2"/>
          <w:sz w:val="20"/>
          <w:szCs w:val="20"/>
          <w:lang w:eastAsia="zh-CN"/>
        </w:rPr>
        <w:t xml:space="preserve">berfungsi </w:t>
      </w:r>
      <w:r w:rsidR="00FB1F19" w:rsidRPr="00C55B9C">
        <w:rPr>
          <w:rFonts w:ascii="Palatino Linotype" w:eastAsia="SimSun" w:hAnsi="Palatino Linotype" w:cs="Times New Roman"/>
          <w:spacing w:val="-7"/>
          <w:kern w:val="2"/>
          <w:sz w:val="20"/>
          <w:szCs w:val="20"/>
          <w:lang w:val="id-ID" w:eastAsia="zh-CN"/>
        </w:rPr>
        <w:t xml:space="preserve">untuk menjawab persoalan yang dihadapi oleh </w:t>
      </w:r>
      <w:r>
        <w:rPr>
          <w:rFonts w:ascii="Palatino Linotype" w:eastAsia="SimSun" w:hAnsi="Palatino Linotype" w:cs="Times New Roman"/>
          <w:spacing w:val="-7"/>
          <w:kern w:val="2"/>
          <w:sz w:val="20"/>
          <w:szCs w:val="20"/>
          <w:lang w:eastAsia="zh-CN"/>
        </w:rPr>
        <w:t>umat</w:t>
      </w:r>
      <w:r w:rsidR="00FB1F19" w:rsidRPr="00C55B9C">
        <w:rPr>
          <w:rFonts w:ascii="Palatino Linotype" w:eastAsia="SimSun" w:hAnsi="Palatino Linotype" w:cs="Times New Roman"/>
          <w:spacing w:val="-7"/>
          <w:kern w:val="2"/>
          <w:sz w:val="20"/>
          <w:szCs w:val="20"/>
          <w:lang w:val="id-ID" w:eastAsia="zh-CN"/>
        </w:rPr>
        <w:t xml:space="preserve"> Muslim, tetapi</w:t>
      </w:r>
      <w:r w:rsidR="00BA7706">
        <w:rPr>
          <w:rFonts w:ascii="Palatino Linotype" w:eastAsia="SimSun" w:hAnsi="Palatino Linotype" w:cs="Times New Roman"/>
          <w:spacing w:val="-7"/>
          <w:kern w:val="2"/>
          <w:sz w:val="20"/>
          <w:szCs w:val="20"/>
          <w:lang w:eastAsia="zh-CN"/>
        </w:rPr>
        <w:t xml:space="preserve"> sayangnya </w:t>
      </w:r>
      <w:r w:rsidR="00BA7706" w:rsidRPr="00C55B9C">
        <w:rPr>
          <w:rFonts w:ascii="Palatino Linotype" w:eastAsia="SimSun" w:hAnsi="Palatino Linotype" w:cs="Times New Roman"/>
          <w:spacing w:val="-7"/>
          <w:kern w:val="2"/>
          <w:sz w:val="20"/>
          <w:szCs w:val="20"/>
          <w:lang w:val="id-ID" w:eastAsia="zh-CN"/>
        </w:rPr>
        <w:t>jawaban</w:t>
      </w:r>
      <w:r>
        <w:rPr>
          <w:rFonts w:ascii="Palatino Linotype" w:eastAsia="SimSun" w:hAnsi="Palatino Linotype" w:cs="Times New Roman"/>
          <w:spacing w:val="-7"/>
          <w:kern w:val="2"/>
          <w:sz w:val="20"/>
          <w:szCs w:val="20"/>
          <w:lang w:eastAsia="zh-CN"/>
        </w:rPr>
        <w:t>-jawaban</w:t>
      </w:r>
      <w:r w:rsidR="00FB1F19" w:rsidRPr="00C55B9C">
        <w:rPr>
          <w:rFonts w:ascii="Palatino Linotype" w:eastAsia="SimSun" w:hAnsi="Palatino Linotype" w:cs="Times New Roman"/>
          <w:spacing w:val="-7"/>
          <w:kern w:val="2"/>
          <w:sz w:val="20"/>
          <w:szCs w:val="20"/>
          <w:lang w:val="id-ID" w:eastAsia="zh-CN"/>
        </w:rPr>
        <w:t xml:space="preserve"> fatwa </w:t>
      </w:r>
      <w:r w:rsidR="00BA7706">
        <w:rPr>
          <w:rFonts w:ascii="Palatino Linotype" w:eastAsia="SimSun" w:hAnsi="Palatino Linotype" w:cs="Times New Roman"/>
          <w:spacing w:val="-7"/>
          <w:kern w:val="2"/>
          <w:sz w:val="20"/>
          <w:szCs w:val="20"/>
          <w:lang w:eastAsia="zh-CN"/>
        </w:rPr>
        <w:t xml:space="preserve">kontemporer </w:t>
      </w:r>
      <w:r w:rsidR="00FB1F19" w:rsidRPr="00C55B9C">
        <w:rPr>
          <w:rFonts w:ascii="Palatino Linotype" w:eastAsia="SimSun" w:hAnsi="Palatino Linotype" w:cs="Times New Roman"/>
          <w:spacing w:val="-7"/>
          <w:kern w:val="2"/>
          <w:sz w:val="20"/>
          <w:szCs w:val="20"/>
          <w:lang w:val="id-ID" w:eastAsia="zh-CN"/>
        </w:rPr>
        <w:t xml:space="preserve">itu sendiri </w:t>
      </w:r>
      <w:r w:rsidR="00FB1F19" w:rsidRPr="00C55B9C">
        <w:rPr>
          <w:rFonts w:ascii="Palatino Linotype" w:eastAsia="SimSun" w:hAnsi="Palatino Linotype" w:cs="Times New Roman"/>
          <w:spacing w:val="-7"/>
          <w:kern w:val="2"/>
          <w:sz w:val="20"/>
          <w:szCs w:val="20"/>
          <w:lang w:val="id-ID" w:eastAsia="zh-CN"/>
        </w:rPr>
        <w:t xml:space="preserve">sering </w:t>
      </w:r>
      <w:r w:rsidR="00FB1F19" w:rsidRPr="00C55B9C">
        <w:rPr>
          <w:rFonts w:ascii="Palatino Linotype" w:eastAsia="SimSun" w:hAnsi="Palatino Linotype" w:cs="Times New Roman"/>
          <w:spacing w:val="-7"/>
          <w:kern w:val="2"/>
          <w:sz w:val="20"/>
          <w:szCs w:val="20"/>
          <w:lang w:val="id-ID" w:eastAsia="zh-CN"/>
        </w:rPr>
        <w:t>sangat problematis, tidak solutif</w:t>
      </w:r>
      <w:r w:rsidR="00BA7706">
        <w:rPr>
          <w:rFonts w:ascii="Palatino Linotype" w:eastAsia="SimSun" w:hAnsi="Palatino Linotype" w:cs="Times New Roman"/>
          <w:spacing w:val="-7"/>
          <w:kern w:val="2"/>
          <w:sz w:val="20"/>
          <w:szCs w:val="20"/>
          <w:lang w:eastAsia="zh-CN"/>
        </w:rPr>
        <w:t xml:space="preserve"> bagi umat</w:t>
      </w:r>
      <w:r w:rsidR="00FB1F19" w:rsidRPr="00C55B9C">
        <w:rPr>
          <w:rFonts w:ascii="Palatino Linotype" w:eastAsia="SimSun" w:hAnsi="Palatino Linotype" w:cs="Times New Roman"/>
          <w:spacing w:val="-7"/>
          <w:kern w:val="2"/>
          <w:sz w:val="20"/>
          <w:szCs w:val="20"/>
          <w:lang w:val="id-ID" w:eastAsia="zh-CN"/>
        </w:rPr>
        <w:t xml:space="preserve">. </w:t>
      </w:r>
      <w:r w:rsidR="00A35382" w:rsidRPr="00C55B9C">
        <w:rPr>
          <w:rFonts w:ascii="Palatino Linotype" w:eastAsia="SimSun" w:hAnsi="Palatino Linotype" w:cs="Times New Roman"/>
          <w:spacing w:val="-7"/>
          <w:kern w:val="2"/>
          <w:sz w:val="20"/>
          <w:szCs w:val="20"/>
          <w:lang w:val="id-ID" w:eastAsia="zh-CN"/>
        </w:rPr>
        <w:t xml:space="preserve">Penelitian ini tentang tawaran metodologi fatwa oleh tiga tokoh yang berpengaruh pada era kontemporer, yaitu M. Amin Abdullah, Khalid Abou el-Fadl, dan Jasser Auda. Tawaran ketiga tokoh ini untuk menjawab </w:t>
      </w:r>
      <w:r w:rsidR="00FB1F19" w:rsidRPr="00C55B9C">
        <w:rPr>
          <w:rFonts w:ascii="Palatino Linotype" w:eastAsia="SimSun" w:hAnsi="Palatino Linotype" w:cs="Times New Roman"/>
          <w:spacing w:val="-7"/>
          <w:kern w:val="2"/>
          <w:sz w:val="20"/>
          <w:szCs w:val="20"/>
          <w:lang w:val="id-ID" w:eastAsia="zh-CN"/>
        </w:rPr>
        <w:t>masalah</w:t>
      </w:r>
      <w:r w:rsidR="00A35382" w:rsidRPr="00C55B9C">
        <w:rPr>
          <w:rFonts w:ascii="Palatino Linotype" w:eastAsia="SimSun" w:hAnsi="Palatino Linotype" w:cs="Times New Roman"/>
          <w:spacing w:val="-7"/>
          <w:kern w:val="2"/>
          <w:sz w:val="20"/>
          <w:szCs w:val="20"/>
          <w:lang w:val="id-ID" w:eastAsia="zh-CN"/>
        </w:rPr>
        <w:t xml:space="preserve"> fatwa kontemporer yang seringkali sangat problematis. Penelitian ini merupakan studi literature dengan menggunakan metode analisis wacana kritis. Dari penelitian ini ditemukan, bahwa fatwa kontemporer yang sering problematis, karena ulama mujtahid yang melakukan kerja ijtihad menggunakan metodologi lama, tidak mau mengembangkan dan menoleh pada teori-teori social baru untuk memahami realitas social dan teks kitab suci. Ketiga tokoh yang menjadi objek penelitian ini merekomendasikan tawaran pendekatan dan metode baru dalam kerja fatwa ataupu</w:t>
      </w:r>
      <w:r w:rsidR="00D46D8E" w:rsidRPr="00C55B9C">
        <w:rPr>
          <w:rFonts w:ascii="Palatino Linotype" w:eastAsia="SimSun" w:hAnsi="Palatino Linotype" w:cs="Times New Roman"/>
          <w:spacing w:val="-7"/>
          <w:kern w:val="2"/>
          <w:sz w:val="20"/>
          <w:szCs w:val="20"/>
          <w:lang w:val="id-ID" w:eastAsia="zh-CN"/>
        </w:rPr>
        <w:t>n</w:t>
      </w:r>
      <w:r w:rsidR="00A35382" w:rsidRPr="00C55B9C">
        <w:rPr>
          <w:rFonts w:ascii="Palatino Linotype" w:eastAsia="SimSun" w:hAnsi="Palatino Linotype" w:cs="Times New Roman"/>
          <w:spacing w:val="-7"/>
          <w:kern w:val="2"/>
          <w:sz w:val="20"/>
          <w:szCs w:val="20"/>
          <w:lang w:val="id-ID" w:eastAsia="zh-CN"/>
        </w:rPr>
        <w:t xml:space="preserve"> ijtihad. Amin Abdullah menawarkan paradigam integrasi-interkoneksi keilmuan </w:t>
      </w:r>
      <w:r w:rsidR="00B46AA8" w:rsidRPr="00C55B9C">
        <w:rPr>
          <w:rFonts w:ascii="Palatino Linotype" w:eastAsia="SimSun" w:hAnsi="Palatino Linotype" w:cs="Times New Roman"/>
          <w:spacing w:val="-7"/>
          <w:kern w:val="2"/>
          <w:sz w:val="20"/>
          <w:szCs w:val="20"/>
          <w:lang w:val="id-ID" w:eastAsia="zh-CN"/>
        </w:rPr>
        <w:t>Islam</w:t>
      </w:r>
      <w:r w:rsidR="00A35382" w:rsidRPr="00C55B9C">
        <w:rPr>
          <w:rFonts w:ascii="Palatino Linotype" w:eastAsia="SimSun" w:hAnsi="Palatino Linotype" w:cs="Times New Roman"/>
          <w:spacing w:val="-7"/>
          <w:kern w:val="2"/>
          <w:sz w:val="20"/>
          <w:szCs w:val="20"/>
          <w:lang w:val="id-ID" w:eastAsia="zh-CN"/>
        </w:rPr>
        <w:t xml:space="preserve"> dan ilmu-ilmu humaniora lainya. Khalid Abou al-Fadl menawarkan </w:t>
      </w:r>
      <w:r w:rsidR="00B46AA8" w:rsidRPr="00C55B9C">
        <w:rPr>
          <w:rFonts w:ascii="Palatino Linotype" w:eastAsia="SimSun" w:hAnsi="Palatino Linotype" w:cs="Times New Roman"/>
          <w:spacing w:val="-7"/>
          <w:kern w:val="2"/>
          <w:sz w:val="20"/>
          <w:szCs w:val="20"/>
          <w:lang w:val="id-ID" w:eastAsia="zh-CN"/>
        </w:rPr>
        <w:t xml:space="preserve">gagasan model ijtihad otoritatif </w:t>
      </w:r>
      <w:r w:rsidR="004D01CE" w:rsidRPr="00C55B9C">
        <w:rPr>
          <w:rFonts w:ascii="Palatino Linotype" w:eastAsia="SimSun" w:hAnsi="Palatino Linotype" w:cs="Times New Roman"/>
          <w:spacing w:val="-7"/>
          <w:kern w:val="2"/>
          <w:sz w:val="20"/>
          <w:szCs w:val="20"/>
          <w:lang w:val="id-ID" w:eastAsia="zh-CN"/>
        </w:rPr>
        <w:t>a vis-a vis model</w:t>
      </w:r>
      <w:r w:rsidR="00B46AA8" w:rsidRPr="00C55B9C">
        <w:rPr>
          <w:rFonts w:ascii="Palatino Linotype" w:eastAsia="SimSun" w:hAnsi="Palatino Linotype" w:cs="Times New Roman"/>
          <w:spacing w:val="-7"/>
          <w:kern w:val="2"/>
          <w:sz w:val="20"/>
          <w:szCs w:val="20"/>
          <w:lang w:val="id-ID" w:eastAsia="zh-CN"/>
        </w:rPr>
        <w:t xml:space="preserve"> ijtihad otoriter. Ijtihad otoritatif adalah membiarkan teks tetap terbuka dalam pemaknaan, tidak dikuasi oleh pemaknaan kelompok tertentu, serta </w:t>
      </w:r>
      <w:r w:rsidR="0012348D" w:rsidRPr="00C55B9C">
        <w:rPr>
          <w:rFonts w:ascii="Palatino Linotype" w:eastAsia="SimSun" w:hAnsi="Palatino Linotype" w:cs="Times New Roman"/>
          <w:spacing w:val="-7"/>
          <w:kern w:val="2"/>
          <w:sz w:val="20"/>
          <w:szCs w:val="20"/>
          <w:lang w:val="id-ID" w:eastAsia="zh-CN"/>
        </w:rPr>
        <w:t xml:space="preserve">menghadirkan </w:t>
      </w:r>
      <w:r w:rsidR="00B46AA8" w:rsidRPr="00C55B9C">
        <w:rPr>
          <w:rFonts w:ascii="Palatino Linotype" w:eastAsia="SimSun" w:hAnsi="Palatino Linotype" w:cs="Times New Roman"/>
          <w:spacing w:val="-7"/>
          <w:kern w:val="2"/>
          <w:sz w:val="20"/>
          <w:szCs w:val="20"/>
          <w:lang w:val="id-ID" w:eastAsia="zh-CN"/>
        </w:rPr>
        <w:t>prasyarat eti</w:t>
      </w:r>
      <w:r w:rsidR="0012348D" w:rsidRPr="00C55B9C">
        <w:rPr>
          <w:rFonts w:ascii="Palatino Linotype" w:eastAsia="SimSun" w:hAnsi="Palatino Linotype" w:cs="Times New Roman"/>
          <w:spacing w:val="-7"/>
          <w:kern w:val="2"/>
          <w:sz w:val="20"/>
          <w:szCs w:val="20"/>
          <w:lang w:val="id-ID" w:eastAsia="zh-CN"/>
        </w:rPr>
        <w:t>s</w:t>
      </w:r>
      <w:r w:rsidR="00B46AA8" w:rsidRPr="00C55B9C">
        <w:rPr>
          <w:rFonts w:ascii="Palatino Linotype" w:eastAsia="SimSun" w:hAnsi="Palatino Linotype" w:cs="Times New Roman"/>
          <w:spacing w:val="-7"/>
          <w:kern w:val="2"/>
          <w:sz w:val="20"/>
          <w:szCs w:val="20"/>
          <w:lang w:val="id-ID" w:eastAsia="zh-CN"/>
        </w:rPr>
        <w:t xml:space="preserve"> yang harus dimiliki oleh setiap mujtahid. Sedangkan Jasser Auda menawarkan pendekatan system dalam kerja ijtihad. </w:t>
      </w:r>
      <w:r>
        <w:rPr>
          <w:rFonts w:ascii="Palatino Linotype" w:eastAsia="SimSun" w:hAnsi="Palatino Linotype" w:cs="Times New Roman"/>
          <w:spacing w:val="-7"/>
          <w:kern w:val="2"/>
          <w:sz w:val="20"/>
          <w:szCs w:val="20"/>
          <w:lang w:eastAsia="zh-CN"/>
        </w:rPr>
        <w:t xml:space="preserve">Dan ketiga tawaran metodologis ini juga masih menjadi perdebatan di kalangan umat Islam antara yang pro dan kontra. </w:t>
      </w:r>
    </w:p>
    <w:p w:rsidR="00B46AA8" w:rsidRPr="00437965" w:rsidRDefault="00B46AA8" w:rsidP="00437965">
      <w:pPr>
        <w:widowControl w:val="0"/>
        <w:autoSpaceDE w:val="0"/>
        <w:autoSpaceDN w:val="0"/>
        <w:adjustRightInd w:val="0"/>
        <w:spacing w:after="120" w:line="240" w:lineRule="auto"/>
        <w:ind w:right="-1"/>
        <w:jc w:val="both"/>
        <w:rPr>
          <w:rFonts w:ascii="Palatino Linotype" w:eastAsia="SimSun" w:hAnsi="Palatino Linotype" w:cs="Times New Roman"/>
          <w:kern w:val="2"/>
          <w:sz w:val="20"/>
          <w:szCs w:val="20"/>
          <w:lang w:val="id-ID" w:eastAsia="zh-CN"/>
        </w:rPr>
      </w:pPr>
      <w:r w:rsidRPr="00437965">
        <w:rPr>
          <w:rFonts w:ascii="Palatino Linotype" w:eastAsia="SimSun" w:hAnsi="Palatino Linotype" w:cs="Times New Roman"/>
          <w:b/>
          <w:bCs/>
          <w:kern w:val="2"/>
          <w:sz w:val="20"/>
          <w:szCs w:val="20"/>
          <w:lang w:val="id-ID" w:eastAsia="zh-CN"/>
        </w:rPr>
        <w:t>Kata Kunci:</w:t>
      </w:r>
      <w:r w:rsidRPr="00437965">
        <w:rPr>
          <w:rFonts w:ascii="Palatino Linotype" w:eastAsia="SimSun" w:hAnsi="Palatino Linotype" w:cs="Times New Roman"/>
          <w:kern w:val="2"/>
          <w:sz w:val="20"/>
          <w:szCs w:val="20"/>
          <w:lang w:val="id-ID" w:eastAsia="zh-CN"/>
        </w:rPr>
        <w:t xml:space="preserve"> ulama; fatwa; metodologi ijtihad; hukum Islam </w:t>
      </w:r>
    </w:p>
    <w:p w:rsidR="00437965" w:rsidRPr="00E215D6" w:rsidRDefault="00437965" w:rsidP="00437965">
      <w:pPr>
        <w:autoSpaceDE w:val="0"/>
        <w:autoSpaceDN w:val="0"/>
        <w:adjustRightInd w:val="0"/>
        <w:spacing w:after="120"/>
        <w:jc w:val="center"/>
        <w:rPr>
          <w:rFonts w:ascii="Palatino Linotype" w:hAnsi="Palatino Linotype"/>
          <w:b/>
          <w:bCs/>
          <w:i/>
          <w:szCs w:val="24"/>
          <w:lang w:val="id-ID"/>
        </w:rPr>
      </w:pPr>
      <w:r w:rsidRPr="00E215D6">
        <w:rPr>
          <w:rFonts w:ascii="Palatino Linotype" w:hAnsi="Palatino Linotype"/>
          <w:b/>
          <w:bCs/>
          <w:i/>
          <w:szCs w:val="24"/>
          <w:lang w:val="id-ID"/>
        </w:rPr>
        <w:t>ABSTRACT</w:t>
      </w:r>
    </w:p>
    <w:p w:rsidR="00437965" w:rsidRDefault="00437965" w:rsidP="00BA7706">
      <w:pPr>
        <w:widowControl w:val="0"/>
        <w:autoSpaceDE w:val="0"/>
        <w:autoSpaceDN w:val="0"/>
        <w:adjustRightInd w:val="0"/>
        <w:spacing w:after="120" w:line="240" w:lineRule="auto"/>
        <w:ind w:right="-1"/>
        <w:jc w:val="both"/>
        <w:rPr>
          <w:rFonts w:ascii="Palatino Linotype" w:eastAsia="SimSun" w:hAnsi="Palatino Linotype" w:cs="Times New Roman"/>
          <w:i/>
          <w:iCs/>
          <w:spacing w:val="-7"/>
          <w:kern w:val="2"/>
          <w:sz w:val="20"/>
          <w:szCs w:val="20"/>
          <w:lang w:eastAsia="zh-CN"/>
        </w:rPr>
      </w:pPr>
    </w:p>
    <w:p w:rsidR="00BA7706" w:rsidRDefault="00BA7706" w:rsidP="00BA7706">
      <w:pPr>
        <w:widowControl w:val="0"/>
        <w:autoSpaceDE w:val="0"/>
        <w:autoSpaceDN w:val="0"/>
        <w:adjustRightInd w:val="0"/>
        <w:spacing w:after="120" w:line="240" w:lineRule="auto"/>
        <w:ind w:right="-1"/>
        <w:jc w:val="both"/>
        <w:rPr>
          <w:rFonts w:ascii="Palatino Linotype" w:eastAsia="SimSun" w:hAnsi="Palatino Linotype" w:cs="Times New Roman"/>
          <w:i/>
          <w:iCs/>
          <w:spacing w:val="-7"/>
          <w:kern w:val="2"/>
          <w:sz w:val="20"/>
          <w:szCs w:val="20"/>
          <w:lang w:eastAsia="zh-CN"/>
        </w:rPr>
      </w:pPr>
      <w:r w:rsidRPr="00BA7706">
        <w:rPr>
          <w:rFonts w:ascii="Palatino Linotype" w:eastAsia="SimSun" w:hAnsi="Palatino Linotype" w:cs="Times New Roman"/>
          <w:i/>
          <w:iCs/>
          <w:spacing w:val="-7"/>
          <w:kern w:val="2"/>
          <w:sz w:val="20"/>
          <w:szCs w:val="20"/>
          <w:lang w:eastAsia="zh-CN"/>
        </w:rPr>
        <w:t>Fatwas in Islamic law actually function to answer the problems faced by Muslims, but unfortunately the answers to contemporary fatwas themselves are often very problematic, not a solution for the people. This research is about the offer of fatwa methodology by three influential figures in the contemporary era, namely M. Amin Abdullah, Khalid Abou el-Fadl, and Jasser Auda. The offer of these three figures is to answer the problem of cont</w:t>
      </w:r>
      <w:bookmarkStart w:id="0" w:name="_GoBack"/>
      <w:bookmarkEnd w:id="0"/>
      <w:r w:rsidRPr="00BA7706">
        <w:rPr>
          <w:rFonts w:ascii="Palatino Linotype" w:eastAsia="SimSun" w:hAnsi="Palatino Linotype" w:cs="Times New Roman"/>
          <w:i/>
          <w:iCs/>
          <w:spacing w:val="-7"/>
          <w:kern w:val="2"/>
          <w:sz w:val="20"/>
          <w:szCs w:val="20"/>
          <w:lang w:eastAsia="zh-CN"/>
        </w:rPr>
        <w:t>emporary fatwas which are often very problematic. This research is a literature study using critical discourse analysis method. From this study it was found that contemporary fatwas are often problematic, because mujtahid scholars who carry out ijtihad work using the old methodology, do not want to develop and turn to new social theories to understand social reality and the text of the scriptures. The three figures who become the object of this research recommend new approaches and methods in fatwa or ijtihad work. Amin Abdullah offers a paradigm of integration-interconnection of Islamic scholarship and other humanities. Khalid Abou al-Fadl offers the idea of ​​an authoritative ijtihad model a vis-a vis authoritarian ijtihad model. Authoritative ijtihad is to leave the text open to meaning, not controlled by the meaning of a particular group, and to present ethical prerequisites that every mujtahid must possess. Meanwhile, Jasser Auda offers a systems approach in ijtihad work. And these three methodological proposals are also still being debated among Muslims between the pros and cons.</w:t>
      </w:r>
    </w:p>
    <w:p w:rsidR="00BA7706" w:rsidRPr="00BA7706" w:rsidRDefault="00437965" w:rsidP="00437965">
      <w:pPr>
        <w:widowControl w:val="0"/>
        <w:autoSpaceDE w:val="0"/>
        <w:autoSpaceDN w:val="0"/>
        <w:adjustRightInd w:val="0"/>
        <w:spacing w:after="120" w:line="240" w:lineRule="auto"/>
        <w:ind w:right="-1"/>
        <w:jc w:val="both"/>
        <w:rPr>
          <w:rFonts w:ascii="Palatino Linotype" w:eastAsia="SimSun" w:hAnsi="Palatino Linotype" w:cs="Times New Roman"/>
          <w:i/>
          <w:iCs/>
          <w:spacing w:val="-7"/>
          <w:kern w:val="2"/>
          <w:sz w:val="20"/>
          <w:szCs w:val="20"/>
          <w:lang w:eastAsia="zh-CN"/>
        </w:rPr>
      </w:pPr>
      <w:r w:rsidRPr="00437965">
        <w:rPr>
          <w:rFonts w:ascii="Palatino Linotype" w:eastAsia="SimSun" w:hAnsi="Palatino Linotype" w:cs="Times New Roman"/>
          <w:b/>
          <w:bCs/>
          <w:i/>
          <w:iCs/>
          <w:spacing w:val="-7"/>
          <w:kern w:val="2"/>
          <w:sz w:val="20"/>
          <w:szCs w:val="20"/>
          <w:lang w:eastAsia="zh-CN"/>
        </w:rPr>
        <w:t>Keywords:</w:t>
      </w:r>
      <w:r>
        <w:rPr>
          <w:rFonts w:ascii="Palatino Linotype" w:eastAsia="SimSun" w:hAnsi="Palatino Linotype" w:cs="Times New Roman"/>
          <w:i/>
          <w:iCs/>
          <w:spacing w:val="-7"/>
          <w:kern w:val="2"/>
          <w:sz w:val="20"/>
          <w:szCs w:val="20"/>
          <w:lang w:eastAsia="zh-CN"/>
        </w:rPr>
        <w:t xml:space="preserve"> ulama; fatwa</w:t>
      </w:r>
      <w:r w:rsidRPr="00437965">
        <w:rPr>
          <w:rFonts w:ascii="Palatino Linotype" w:eastAsia="SimSun" w:hAnsi="Palatino Linotype" w:cs="Times New Roman"/>
          <w:i/>
          <w:iCs/>
          <w:spacing w:val="-7"/>
          <w:kern w:val="2"/>
          <w:sz w:val="20"/>
          <w:szCs w:val="20"/>
          <w:lang w:eastAsia="zh-CN"/>
        </w:rPr>
        <w:t>; ijtihad methodology; Islamic law</w:t>
      </w:r>
    </w:p>
    <w:p w:rsidR="00FF5467" w:rsidRPr="00C55B9C" w:rsidRDefault="007162F7" w:rsidP="00462C81">
      <w:pPr>
        <w:pStyle w:val="Heading2"/>
        <w:numPr>
          <w:ilvl w:val="0"/>
          <w:numId w:val="2"/>
        </w:numPr>
        <w:jc w:val="both"/>
        <w:rPr>
          <w:rFonts w:ascii="Palatino Linotype" w:hAnsi="Palatino Linotype" w:cs="Times New Roman"/>
          <w:b/>
          <w:bCs/>
          <w:color w:val="000000" w:themeColor="text1"/>
          <w:sz w:val="24"/>
          <w:szCs w:val="24"/>
        </w:rPr>
      </w:pPr>
      <w:r w:rsidRPr="00C55B9C">
        <w:rPr>
          <w:rFonts w:ascii="Palatino Linotype" w:hAnsi="Palatino Linotype" w:cs="Times New Roman"/>
          <w:b/>
          <w:bCs/>
          <w:color w:val="000000" w:themeColor="text1"/>
          <w:sz w:val="24"/>
          <w:szCs w:val="24"/>
        </w:rPr>
        <w:lastRenderedPageBreak/>
        <w:t>LATAR BELAKANG: REALITAS DAN PROBLEM FATWA</w:t>
      </w:r>
    </w:p>
    <w:p w:rsidR="00D757DA" w:rsidRPr="00C55B9C" w:rsidRDefault="00FF5467" w:rsidP="00C55B9C">
      <w:pPr>
        <w:widowControl w:val="0"/>
        <w:spacing w:after="120" w:line="240" w:lineRule="auto"/>
        <w:ind w:firstLine="567"/>
        <w:jc w:val="both"/>
        <w:rPr>
          <w:rFonts w:ascii="Palatino Linotype" w:eastAsia="SimSun" w:hAnsi="Palatino Linotype" w:cs="Times New Roman"/>
          <w:kern w:val="2"/>
          <w:sz w:val="24"/>
          <w:szCs w:val="24"/>
          <w:lang w:eastAsia="zh-CN"/>
        </w:rPr>
      </w:pPr>
      <w:r w:rsidRPr="00C55B9C">
        <w:rPr>
          <w:rFonts w:ascii="Palatino Linotype" w:eastAsia="SimSun" w:hAnsi="Palatino Linotype" w:cs="Times New Roman"/>
          <w:kern w:val="2"/>
          <w:sz w:val="24"/>
          <w:szCs w:val="24"/>
          <w:lang w:eastAsia="zh-CN"/>
        </w:rPr>
        <w:t xml:space="preserve">Fatwa kegamaan pada era kontemporer termasuk persoalan penting dan fundamental. </w:t>
      </w:r>
      <w:r w:rsidR="00666AEF" w:rsidRPr="00C55B9C">
        <w:rPr>
          <w:rFonts w:ascii="Palatino Linotype" w:eastAsia="SimSun" w:hAnsi="Palatino Linotype" w:cs="Times New Roman"/>
          <w:kern w:val="2"/>
          <w:sz w:val="24"/>
          <w:szCs w:val="24"/>
          <w:lang w:eastAsia="zh-CN"/>
        </w:rPr>
        <w:t>Karena fatwa ulama memiliki fungsi yang strategis dan penting bagi pencerahan keagamaan umat di tengah berbagai persoalan hidup yang dihadapinya. Beberapa penelitian menunjukan bahwa fatwa berperan sebagai media social engineering</w:t>
      </w:r>
      <w:r w:rsidR="00001A5F" w:rsidRPr="00C55B9C">
        <w:rPr>
          <w:rFonts w:ascii="Palatino Linotype" w:eastAsia="SimSun" w:hAnsi="Palatino Linotype" w:cs="Times New Roman"/>
          <w:kern w:val="2"/>
          <w:sz w:val="24"/>
          <w:szCs w:val="24"/>
          <w:lang w:eastAsia="zh-CN"/>
        </w:rPr>
        <w:t xml:space="preserve"> </w:t>
      </w:r>
      <w:r w:rsidR="00D757DA" w:rsidRPr="00C55B9C">
        <w:rPr>
          <w:rFonts w:eastAsia="SimSun"/>
          <w:kern w:val="2"/>
          <w:lang w:eastAsia="zh-CN"/>
        </w:rPr>
        <w:fldChar w:fldCharType="begin" w:fldLock="1"/>
      </w:r>
      <w:r w:rsidR="00D757DA" w:rsidRPr="00C55B9C">
        <w:rPr>
          <w:rFonts w:ascii="Palatino Linotype" w:eastAsia="SimSun" w:hAnsi="Palatino Linotype" w:cs="Times New Roman"/>
          <w:kern w:val="2"/>
          <w:sz w:val="24"/>
          <w:szCs w:val="24"/>
          <w:lang w:eastAsia="zh-CN"/>
        </w:rPr>
        <w:instrText>ADDIN CSL_CITATION {"citationItems":[{"id":"ITEM-1","itemData":{"DOI":"https://doi.org/10.22515/al-ahkam.v3i1.1342","abstract":"Penelitian ini difokuskan untuk menelaah bagaimanakah peran fatwa Majelis Ulama Indonesia (MUI) sebagai social engineering, dan bagaimanakah implikasinya di bidang hukum keluarga Islam. Kedudukan fatwa yang merupakan bagian dari produk hukum Islam sangat urgen dalam eksistensi menentukan keadilan dan rekayasa sosial (social engineering). Eksistensi fatwa mengimplikasikan dinamika perkembangan hukum Islam sebagai jawaban realita sosial dalam menemukan keadilan berdasarkan syariat Islam. Di tengah pluralisme hukum pada era reformasi, masyarakat muslim Indonesia pada umumnya menerima fatwa MUI tentang hukum keluarga dengan baik. Sifat fatwa yang bersifat kasuistik, tidak memiliki daya ikat, dan dinamis telah mendorong adanya rekayasa sosial dalam masyarakat muslim Indonesia khususnya di bidang hukum keluarga. Kepercayaan masyarakat terhadap fatwa telah mengarahkan bahwa fatwa menjadi penentu hukum. Fatwa dinilai oleh masyarakat memiliki nilai-nilai dimensi ketuhanan dan dimensi keadilan sosial secara bersamaan.Sehingga keputusan atau peraturan negara melalui pengadilan yang tidak selaras dengan hukum Islam dapat dimediasi dengan kehadiran fatwa terkait. Fatwa MUI juga telah mampu menjadi jawaban bahkan penyeimbang kontroversi hukum negara dan agama dalam masyarakat. Kekuatan fatwa yang demikian mengarahkan dan menunjukkan kepada nilai-nilai ketuhanan dan cara berpikir, bertindak masyarakat muslim Indonesia.","author":[{"dropping-particle":"","family":"Setiyanto","given":"Danu Aris","non-dropping-particle":"","parse-names":false,"suffix":""}],"container-title":"Al-Ahkam Jurnal Ilmu Syari'ah dan Hukum","id":"ITEM-1","issue":"1","issued":{"date-parts":[["2018"]]},"page":"85-106","title":"Fatwa Sebagai Media Social Engineering (Analisis Fatwa MUI di Bidang Hukum Keluarga Pasca Reformasi)","type":"article-journal","volume":"3"},"uris":["http://www.mendeley.com/documents/?uuid=4c4844f5-ab0a-4384-bd11-dfa1e1877a28"]}],"mendeley":{"formattedCitation":"(Setiyanto, 2018)","plainTextFormattedCitation":"(Setiyanto, 2018)","previouslyFormattedCitation":"(Setiyanto, 2018)"},"properties":{"noteIndex":0},"schema":"https://github.com/citation-style-language/schema/raw/master/csl-citation.json"}</w:instrText>
      </w:r>
      <w:r w:rsidR="00D757DA" w:rsidRPr="00C55B9C">
        <w:rPr>
          <w:rFonts w:eastAsia="SimSun"/>
          <w:kern w:val="2"/>
          <w:lang w:eastAsia="zh-CN"/>
        </w:rPr>
        <w:fldChar w:fldCharType="separate"/>
      </w:r>
      <w:r w:rsidR="00D757DA" w:rsidRPr="00C55B9C">
        <w:rPr>
          <w:rFonts w:ascii="Palatino Linotype" w:eastAsia="SimSun" w:hAnsi="Palatino Linotype" w:cs="Times New Roman"/>
          <w:kern w:val="2"/>
          <w:sz w:val="24"/>
          <w:szCs w:val="24"/>
          <w:lang w:eastAsia="zh-CN"/>
        </w:rPr>
        <w:t>(Setiyanto, 2018)</w:t>
      </w:r>
      <w:r w:rsidR="00D757DA" w:rsidRPr="00C55B9C">
        <w:rPr>
          <w:rFonts w:eastAsia="SimSun"/>
          <w:kern w:val="2"/>
          <w:lang w:eastAsia="zh-CN"/>
        </w:rPr>
        <w:fldChar w:fldCharType="end"/>
      </w:r>
      <w:r w:rsidR="00D757DA" w:rsidRPr="00C55B9C">
        <w:rPr>
          <w:rFonts w:ascii="Palatino Linotype" w:eastAsia="SimSun" w:hAnsi="Palatino Linotype" w:cs="Times New Roman"/>
          <w:kern w:val="2"/>
          <w:sz w:val="24"/>
          <w:szCs w:val="24"/>
          <w:lang w:eastAsia="zh-CN"/>
        </w:rPr>
        <w:t xml:space="preserve">, transformasi social budaya </w:t>
      </w:r>
      <w:r w:rsidR="00D757DA" w:rsidRPr="00C55B9C">
        <w:rPr>
          <w:rFonts w:eastAsia="SimSun"/>
          <w:kern w:val="2"/>
          <w:lang w:eastAsia="zh-CN"/>
        </w:rPr>
        <w:fldChar w:fldCharType="begin" w:fldLock="1"/>
      </w:r>
      <w:r w:rsidR="00D757DA" w:rsidRPr="00C55B9C">
        <w:rPr>
          <w:rFonts w:ascii="Palatino Linotype" w:eastAsia="SimSun" w:hAnsi="Palatino Linotype" w:cs="Times New Roman"/>
          <w:kern w:val="2"/>
          <w:sz w:val="24"/>
          <w:szCs w:val="24"/>
          <w:lang w:eastAsia="zh-CN"/>
        </w:rPr>
        <w:instrText>ADDIN CSL_CITATION {"citationItems":[{"id":"ITEM-1","itemData":{"abstract":"Perubahan sosial sebagai hasil dinamika budaya sering menimbulkan gesekan di masyarakat. Islam sebagai agama universal dengan panduan spesifik berdasarkan Quran dan hadis memerlukan peran ulama untuk menerjemahkan transformasi sosio-kultural dalam bentuk fatwa. Penelitian ini menjelaskan peran dan pengaruh fatwa MUI terhadap perubahan sosio-kultural di Indonesia mengacu pada 47 fatwa MUI di bidang sosio-kultural. Metode deskriptif-kualitatif dengan memperdalam studi literatur tentang pendekatan sosio-historis digunakan untuk menjawab pertanyaan di atas. Hasilnya, ada 8 penyebab perubahan sosio-kultural di Indonesia, yaitu cara berfikir, pertumbuhan penduduk, interaksi dengan masyarakat dan bangsa lain, penemuan baru, teknologi, bencana dan konflik di masyarakat. Meski posisi hukum fatwa tidak mengikat, beberapa pengaruhnya cukup signifikan seperti keterlibatan masyarakat dalam program KB, pengembangan keuangan syariah, dan koreksi terhadap aqidah ummat saat menghadapi natal.","author":[{"dropping-particle":"","family":"Hamzah","given":"Muhammad Maulana","non-dropping-particle":"","parse-names":false,"suffix":""}],"container-title":"Millah: Jurnal Studi Agama","id":"ITEM-1","issue":"1","issued":{"date-parts":[["2017"]]},"page":"127-154","title":"Peran dan Pengaruh Fatwa MUI dalam Arus Transformasi Sosial Budaya di Indonesia","type":"article-journal","volume":"17"},"uris":["http://www.mendeley.com/documents/?uuid=4f9929bd-c2a3-49c9-8b8b-3552425e9156"]}],"mendeley":{"formattedCitation":"(Hamzah, 2017)","plainTextFormattedCitation":"(Hamzah, 2017)","previouslyFormattedCitation":"(Hamzah, 2017)"},"properties":{"noteIndex":0},"schema":"https://github.com/citation-style-language/schema/raw/master/csl-citation.json"}</w:instrText>
      </w:r>
      <w:r w:rsidR="00D757DA" w:rsidRPr="00C55B9C">
        <w:rPr>
          <w:rFonts w:eastAsia="SimSun"/>
          <w:kern w:val="2"/>
          <w:lang w:eastAsia="zh-CN"/>
        </w:rPr>
        <w:fldChar w:fldCharType="separate"/>
      </w:r>
      <w:r w:rsidR="00D757DA" w:rsidRPr="00C55B9C">
        <w:rPr>
          <w:rFonts w:ascii="Palatino Linotype" w:eastAsia="SimSun" w:hAnsi="Palatino Linotype" w:cs="Times New Roman"/>
          <w:kern w:val="2"/>
          <w:sz w:val="24"/>
          <w:szCs w:val="24"/>
          <w:lang w:eastAsia="zh-CN"/>
        </w:rPr>
        <w:t>(Hamzah, 2017)</w:t>
      </w:r>
      <w:r w:rsidR="00D757DA" w:rsidRPr="00C55B9C">
        <w:rPr>
          <w:rFonts w:eastAsia="SimSun"/>
          <w:kern w:val="2"/>
          <w:lang w:eastAsia="zh-CN"/>
        </w:rPr>
        <w:fldChar w:fldCharType="end"/>
      </w:r>
      <w:r w:rsidR="00D757DA" w:rsidRPr="00C55B9C">
        <w:rPr>
          <w:rFonts w:ascii="Palatino Linotype" w:eastAsia="SimSun" w:hAnsi="Palatino Linotype" w:cs="Times New Roman"/>
          <w:kern w:val="2"/>
          <w:sz w:val="24"/>
          <w:szCs w:val="24"/>
          <w:lang w:eastAsia="zh-CN"/>
        </w:rPr>
        <w:t>, dinamika perubahan social ekonomi</w:t>
      </w:r>
      <w:r w:rsidR="00001A5F" w:rsidRPr="00C55B9C">
        <w:rPr>
          <w:rFonts w:ascii="Palatino Linotype" w:eastAsia="SimSun" w:hAnsi="Palatino Linotype" w:cs="Times New Roman"/>
          <w:kern w:val="2"/>
          <w:sz w:val="24"/>
          <w:szCs w:val="24"/>
          <w:lang w:eastAsia="zh-CN"/>
        </w:rPr>
        <w:t xml:space="preserve"> </w:t>
      </w:r>
      <w:r w:rsidR="00D757DA" w:rsidRPr="00C55B9C">
        <w:rPr>
          <w:rFonts w:eastAsia="SimSun"/>
          <w:kern w:val="2"/>
          <w:lang w:eastAsia="zh-CN"/>
        </w:rPr>
        <w:fldChar w:fldCharType="begin" w:fldLock="1"/>
      </w:r>
      <w:r w:rsidR="00D757DA" w:rsidRPr="00C55B9C">
        <w:rPr>
          <w:rFonts w:ascii="Palatino Linotype" w:eastAsia="SimSun" w:hAnsi="Palatino Linotype" w:cs="Times New Roman"/>
          <w:kern w:val="2"/>
          <w:sz w:val="24"/>
          <w:szCs w:val="24"/>
          <w:lang w:eastAsia="zh-CN"/>
        </w:rPr>
        <w:instrText>ADDIN CSL_CITATION {"citationItems":[{"id":"ITEM-1","itemData":{"abstract":"Artikel ini membahas mengenai perubahan karakteristik fatwa dari fatwa klasik ke fatwa kontemporer, khususnya fatwa ekonomi syariah di Indonesia jika dibandingkan dengan fatwa-fatwa ulama terdahulu. Dari hasil penelitian ini, penulis menyimpulkan bahwa perubahan karakteristikfatwa DSN-MUI terletak pada; a) fatwa yang memiliki kekuatan hukum mengikat berdasarkan UndangUndang; b) fatwa ditujukan khusus bagi lembaga keuangan dan kewenangan khusus di bidang ekonomi syariah; c) fatwa tidak lagi merupakan jawaban atas suatu pertanyaan akan tetapi respon aktif dari DSN-MUI","author":[{"dropping-particle":"","family":"Wahid","given":"Soleh Hasan","non-dropping-particle":"","parse-names":false,"suffix":""}],"container-title":"Yudisia","id":"ITEM-1","issue":"2","issued":{"date-parts":[["2019"]]},"page":"193-209","title":"Dinamika Fatwa dari Klasik ke Kontemporer (Tinjauan Karakteristik Fatwa Ekonomi Syariah Dewan Syariah Nasional Indonesia (DSN-MUI)","type":"article-journal","volume":"10"},"uris":["http://www.mendeley.com/documents/?uuid=05d55d8a-5420-4150-9d53-475b843433ea"]}],"mendeley":{"formattedCitation":"(Wahid, 2019)","plainTextFormattedCitation":"(Wahid, 2019)","previouslyFormattedCitation":"(Wahid, 2019)"},"properties":{"noteIndex":0},"schema":"https://github.com/citation-style-language/schema/raw/master/csl-citation.json"}</w:instrText>
      </w:r>
      <w:r w:rsidR="00D757DA" w:rsidRPr="00C55B9C">
        <w:rPr>
          <w:rFonts w:eastAsia="SimSun"/>
          <w:kern w:val="2"/>
          <w:lang w:eastAsia="zh-CN"/>
        </w:rPr>
        <w:fldChar w:fldCharType="separate"/>
      </w:r>
      <w:r w:rsidR="00D757DA" w:rsidRPr="00C55B9C">
        <w:rPr>
          <w:rFonts w:ascii="Palatino Linotype" w:eastAsia="SimSun" w:hAnsi="Palatino Linotype" w:cs="Times New Roman"/>
          <w:kern w:val="2"/>
          <w:sz w:val="24"/>
          <w:szCs w:val="24"/>
          <w:lang w:eastAsia="zh-CN"/>
        </w:rPr>
        <w:t>(Wahid, 2019)</w:t>
      </w:r>
      <w:r w:rsidR="00D757DA" w:rsidRPr="00C55B9C">
        <w:rPr>
          <w:rFonts w:eastAsia="SimSun"/>
          <w:kern w:val="2"/>
          <w:lang w:eastAsia="zh-CN"/>
        </w:rPr>
        <w:fldChar w:fldCharType="end"/>
      </w:r>
      <w:r w:rsidR="00001A5F" w:rsidRPr="00C55B9C">
        <w:rPr>
          <w:rFonts w:ascii="Palatino Linotype" w:eastAsia="SimSun" w:hAnsi="Palatino Linotype" w:cs="Times New Roman"/>
          <w:kern w:val="2"/>
          <w:sz w:val="24"/>
          <w:szCs w:val="24"/>
          <w:lang w:eastAsia="zh-CN"/>
        </w:rPr>
        <w:t>,</w:t>
      </w:r>
      <w:r w:rsidR="00D757DA" w:rsidRPr="00C55B9C">
        <w:rPr>
          <w:rFonts w:ascii="Palatino Linotype" w:eastAsia="SimSun" w:hAnsi="Palatino Linotype" w:cs="Times New Roman"/>
          <w:kern w:val="2"/>
          <w:sz w:val="24"/>
          <w:szCs w:val="24"/>
          <w:lang w:eastAsia="zh-CN"/>
        </w:rPr>
        <w:t xml:space="preserve"> dan juga memiliki pengaruh terhadap proses pengambilan kebijakan pemerintah</w:t>
      </w:r>
      <w:r w:rsidR="00001A5F" w:rsidRPr="00C55B9C">
        <w:rPr>
          <w:rFonts w:ascii="Palatino Linotype" w:eastAsia="SimSun" w:hAnsi="Palatino Linotype" w:cs="Times New Roman"/>
          <w:kern w:val="2"/>
          <w:sz w:val="24"/>
          <w:szCs w:val="24"/>
          <w:lang w:eastAsia="zh-CN"/>
        </w:rPr>
        <w:t xml:space="preserve"> </w:t>
      </w:r>
      <w:r w:rsidR="00D757DA" w:rsidRPr="00C55B9C">
        <w:rPr>
          <w:rFonts w:eastAsia="SimSun"/>
          <w:kern w:val="2"/>
          <w:lang w:eastAsia="zh-CN"/>
        </w:rPr>
        <w:fldChar w:fldCharType="begin" w:fldLock="1"/>
      </w:r>
      <w:r w:rsidR="00D757DA" w:rsidRPr="00C55B9C">
        <w:rPr>
          <w:rFonts w:ascii="Palatino Linotype" w:eastAsia="SimSun" w:hAnsi="Palatino Linotype" w:cs="Times New Roman"/>
          <w:kern w:val="2"/>
          <w:sz w:val="24"/>
          <w:szCs w:val="24"/>
          <w:lang w:eastAsia="zh-CN"/>
        </w:rPr>
        <w:instrText>ADDIN CSL_CITATION {"citationItems":[{"id":"ITEM-1","itemData":{"author":[{"dropping-particle":"","family":"Effendi","given":"Andi Shofian","non-dropping-particle":"","parse-names":false,"suffix":""}],"id":"ITEM-1","issued":{"date-parts":[["2011"]]},"publisher":"UIN Syarif Hidayatullah Jakarta","title":"Pengaruh Fatwa Majelis Ulama Indonesia terhadap Proses Pengambilan Kebijakan Pemerintah Indonesia","type":"thesis"},"uris":["http://www.mendeley.com/documents/?uuid=ecc63cf0-921a-4a47-8033-a2179b7cb18f"]}],"mendeley":{"formattedCitation":"(Effendi, 2011)","plainTextFormattedCitation":"(Effendi, 2011)","previouslyFormattedCitation":"(Effendi, 2011)"},"properties":{"noteIndex":0},"schema":"https://github.com/citation-style-language/schema/raw/master/csl-citation.json"}</w:instrText>
      </w:r>
      <w:r w:rsidR="00D757DA" w:rsidRPr="00C55B9C">
        <w:rPr>
          <w:rFonts w:eastAsia="SimSun"/>
          <w:kern w:val="2"/>
          <w:lang w:eastAsia="zh-CN"/>
        </w:rPr>
        <w:fldChar w:fldCharType="separate"/>
      </w:r>
      <w:r w:rsidR="00D757DA" w:rsidRPr="00C55B9C">
        <w:rPr>
          <w:rFonts w:ascii="Palatino Linotype" w:eastAsia="SimSun" w:hAnsi="Palatino Linotype" w:cs="Times New Roman"/>
          <w:kern w:val="2"/>
          <w:sz w:val="24"/>
          <w:szCs w:val="24"/>
          <w:lang w:eastAsia="zh-CN"/>
        </w:rPr>
        <w:t>(Effendi, 2011)</w:t>
      </w:r>
      <w:r w:rsidR="00D757DA" w:rsidRPr="00C55B9C">
        <w:rPr>
          <w:rFonts w:eastAsia="SimSun"/>
          <w:kern w:val="2"/>
          <w:lang w:eastAsia="zh-CN"/>
        </w:rPr>
        <w:fldChar w:fldCharType="end"/>
      </w:r>
      <w:r w:rsidR="00D757DA" w:rsidRPr="00C55B9C">
        <w:rPr>
          <w:rFonts w:ascii="Palatino Linotype" w:eastAsia="SimSun" w:hAnsi="Palatino Linotype" w:cs="Times New Roman"/>
          <w:kern w:val="2"/>
          <w:sz w:val="24"/>
          <w:szCs w:val="24"/>
          <w:lang w:eastAsia="zh-CN"/>
        </w:rPr>
        <w:t>. Umat dalam kehidupan bersosial dan beragama banyak merujuk berbagai fatwa, baik yang tersebar di media online maupun ofline, baik itu fatwa dari ulama-ulama yang bersifat individual ataupun dari ulama-ulama yang tergabung dalam lembaga fatwa dari berbagai organisasi keagamaan. Dalam konteks lembaga, ada berbagai lembaga fatwa di Indonesia yang menjadi rujukan umat, seperti MUI, Majelis Tarjih Muhammadiyah dan LBM NU</w:t>
      </w:r>
      <w:r w:rsidR="00D757DA" w:rsidRPr="00C55B9C">
        <w:rPr>
          <w:rFonts w:eastAsia="SimSun"/>
          <w:kern w:val="2"/>
          <w:lang w:eastAsia="zh-CN"/>
        </w:rPr>
        <w:fldChar w:fldCharType="begin" w:fldLock="1"/>
      </w:r>
      <w:r w:rsidR="00D757DA" w:rsidRPr="00C55B9C">
        <w:rPr>
          <w:rFonts w:ascii="Palatino Linotype" w:eastAsia="SimSun" w:hAnsi="Palatino Linotype" w:cs="Times New Roman"/>
          <w:kern w:val="2"/>
          <w:sz w:val="24"/>
          <w:szCs w:val="24"/>
          <w:lang w:eastAsia="zh-CN"/>
        </w:rPr>
        <w:instrText>ADDIN CSL_CITATION {"citationItems":[{"id":"ITEM-1","itemData":{"abstract":"Muhammadiyah dan NU adalah dua ormas Islam terbesar di Indonesia yang selama ini mampu mewarnai dinamika kehidupan beragama bangsa ini. Melalui keduanya telah lahir banyak produk hukum (baca: fatwa) yang dijadikan pegangan oleh masing-masing pengikutnya dalam menjalani kehidupan beragama. Dilihat dari sisi produk, selama ini fatwa yang dikeluarkan oleh Muhammadiyah dan NU seringkali menunjukkan perbedaannya. Hal ini sangat bisa dimaklumi mengingat bahwa dua organisasi ini mempunyai mekanisme yang berbeda dalam melakukan istinbath hukum. Kenyataan bahwa Muhammadiyah melalui Majlis Tarjih dan NU melalui Lembaga Bahtsul Masailnya memiliki pendekatan yang berbeda dalam melakukan istinbath hukum, karena itu tidak mengherankan jika fatwa yang dikelurkan juga berbeda. Tulisan ini akan menggambarkan dinamika perbedaan yang terjadi dalam Majelis Tarjih Muhammadiyah dan Lembaga Bahtsul Masail NU.","author":[{"dropping-particle":"","family":"Nasih","given":"Ahmad Munjin","non-dropping-particle":"","parse-names":false,"suffix":""}],"container-title":"de Jure: Jurnal Syariah dan Hukum","id":"ITEM-1","issue":"1","issued":{"date-parts":[["2013"]]},"page":"67-78","title":"Lembaga Fatwa Keagamaan di Indonesia (Telaah Atas Lembaga Majlis Tarjih dan Lajnah Bathsul Masail)","type":"article-journal","volume":"5"},"uris":["http://www.mendeley.com/documents/?uuid=0d7991d5-d7ed-4660-933f-d9f4a6e52fc8"]}],"mendeley":{"formattedCitation":"(Nasih, 2013)","plainTextFormattedCitation":"(Nasih, 2013)","previouslyFormattedCitation":"(Nasih, 2013)"},"properties":{"noteIndex":0},"schema":"https://github.com/citation-style-language/schema/raw/master/csl-citation.json"}</w:instrText>
      </w:r>
      <w:r w:rsidR="00D757DA" w:rsidRPr="00C55B9C">
        <w:rPr>
          <w:rFonts w:eastAsia="SimSun"/>
          <w:kern w:val="2"/>
          <w:lang w:eastAsia="zh-CN"/>
        </w:rPr>
        <w:fldChar w:fldCharType="separate"/>
      </w:r>
      <w:r w:rsidR="00D757DA" w:rsidRPr="00C55B9C">
        <w:rPr>
          <w:rFonts w:ascii="Palatino Linotype" w:eastAsia="SimSun" w:hAnsi="Palatino Linotype" w:cs="Times New Roman"/>
          <w:kern w:val="2"/>
          <w:sz w:val="24"/>
          <w:szCs w:val="24"/>
          <w:lang w:eastAsia="zh-CN"/>
        </w:rPr>
        <w:t>(Nasih, 2013)</w:t>
      </w:r>
      <w:r w:rsidR="00D757DA" w:rsidRPr="00C55B9C">
        <w:rPr>
          <w:rFonts w:eastAsia="SimSun"/>
          <w:kern w:val="2"/>
          <w:lang w:eastAsia="zh-CN"/>
        </w:rPr>
        <w:fldChar w:fldCharType="end"/>
      </w:r>
      <w:r w:rsidR="00D757DA" w:rsidRPr="00C55B9C">
        <w:rPr>
          <w:rFonts w:ascii="Palatino Linotype" w:eastAsia="SimSun" w:hAnsi="Palatino Linotype" w:cs="Times New Roman"/>
          <w:kern w:val="2"/>
          <w:sz w:val="24"/>
          <w:szCs w:val="24"/>
          <w:lang w:eastAsia="zh-CN"/>
        </w:rPr>
        <w:t xml:space="preserve">, Dewan Hisbah Persis </w:t>
      </w:r>
      <w:r w:rsidR="00D757DA" w:rsidRPr="00C55B9C">
        <w:rPr>
          <w:rFonts w:eastAsia="SimSun"/>
          <w:kern w:val="2"/>
          <w:lang w:eastAsia="zh-CN"/>
        </w:rPr>
        <w:fldChar w:fldCharType="begin" w:fldLock="1"/>
      </w:r>
      <w:r w:rsidR="00D757DA" w:rsidRPr="00C55B9C">
        <w:rPr>
          <w:rFonts w:ascii="Palatino Linotype" w:eastAsia="SimSun" w:hAnsi="Palatino Linotype" w:cs="Times New Roman"/>
          <w:kern w:val="2"/>
          <w:sz w:val="24"/>
          <w:szCs w:val="24"/>
          <w:lang w:eastAsia="zh-CN"/>
        </w:rPr>
        <w:instrText>ADDIN CSL_CITATION {"citationItems":[{"id":"ITEM-1","itemData":{"DOI":"https://doi.org/10.35316/istidlal.v2i1.119","abstract":"ERSISis an influential religious organization in Indonesia, as well as Nahdlatul Ulama (NU) and Muhammadiyah. The existence of such organizations is supported by the organizational units that are authorized to formulate religious instruction. The organizational unit is called Hisbah Council. This article described the Istinbath method and some of the decisions made by the Hisbah Board","author":[{"dropping-particle":"","family":"Tasliyah","given":"Nihayatut","non-dropping-particle":"","parse-names":false,"suffix":""}],"container-title":"Istidlal: Jurnal Ekonomi Dan Hukum Islam","id":"ITEM-1","issue":"1","issued":{"date-parts":[["2018"]]},"page":"48-59","title":"Dewan Hisbah Sebagai Lembaga Otoritas Keagamaan PERSIS","type":"article-journal","volume":"2"},"uris":["http://www.mendeley.com/documents/?uuid=0a64ba06-7c88-4507-ac6c-a420d81a68e8"]}],"mendeley":{"formattedCitation":"(Tasliyah, 2018)","plainTextFormattedCitation":"(Tasliyah, 2018)","previouslyFormattedCitation":"(Tasliyah, 2018)"},"properties":{"noteIndex":0},"schema":"https://github.com/citation-style-language/schema/raw/master/csl-citation.json"}</w:instrText>
      </w:r>
      <w:r w:rsidR="00D757DA" w:rsidRPr="00C55B9C">
        <w:rPr>
          <w:rFonts w:eastAsia="SimSun"/>
          <w:kern w:val="2"/>
          <w:lang w:eastAsia="zh-CN"/>
        </w:rPr>
        <w:fldChar w:fldCharType="separate"/>
      </w:r>
      <w:r w:rsidR="00D757DA" w:rsidRPr="00C55B9C">
        <w:rPr>
          <w:rFonts w:ascii="Palatino Linotype" w:eastAsia="SimSun" w:hAnsi="Palatino Linotype" w:cs="Times New Roman"/>
          <w:kern w:val="2"/>
          <w:sz w:val="24"/>
          <w:szCs w:val="24"/>
          <w:lang w:eastAsia="zh-CN"/>
        </w:rPr>
        <w:t>(Tasliyah, 2018)</w:t>
      </w:r>
      <w:r w:rsidR="00D757DA" w:rsidRPr="00C55B9C">
        <w:rPr>
          <w:rFonts w:eastAsia="SimSun"/>
          <w:kern w:val="2"/>
          <w:lang w:eastAsia="zh-CN"/>
        </w:rPr>
        <w:fldChar w:fldCharType="end"/>
      </w:r>
      <w:r w:rsidR="00D757DA" w:rsidRPr="00C55B9C">
        <w:rPr>
          <w:rFonts w:ascii="Palatino Linotype" w:eastAsia="SimSun" w:hAnsi="Palatino Linotype" w:cs="Times New Roman"/>
          <w:kern w:val="2"/>
          <w:sz w:val="24"/>
          <w:szCs w:val="24"/>
          <w:lang w:eastAsia="zh-CN"/>
        </w:rPr>
        <w:t xml:space="preserve">, dan lain-lain. </w:t>
      </w:r>
    </w:p>
    <w:p w:rsidR="00D757DA" w:rsidRPr="00C55B9C" w:rsidRDefault="00D757DA" w:rsidP="00C55B9C">
      <w:pPr>
        <w:widowControl w:val="0"/>
        <w:spacing w:after="120" w:line="240" w:lineRule="auto"/>
        <w:ind w:firstLine="567"/>
        <w:jc w:val="both"/>
        <w:rPr>
          <w:rFonts w:ascii="Palatino Linotype" w:eastAsia="SimSun" w:hAnsi="Palatino Linotype" w:cs="Times New Roman"/>
          <w:kern w:val="2"/>
          <w:sz w:val="24"/>
          <w:szCs w:val="24"/>
          <w:lang w:eastAsia="zh-CN"/>
        </w:rPr>
      </w:pPr>
      <w:r w:rsidRPr="00C55B9C">
        <w:rPr>
          <w:rFonts w:ascii="Palatino Linotype" w:eastAsia="SimSun" w:hAnsi="Palatino Linotype" w:cs="Times New Roman"/>
          <w:kern w:val="2"/>
          <w:sz w:val="24"/>
          <w:szCs w:val="24"/>
          <w:lang w:eastAsia="zh-CN"/>
        </w:rPr>
        <w:t xml:space="preserve">Seiring dengan pentingnya peran fatwa di tengah kehidupan umat, tidak sedikit fatwa keagamaan justru menjadi problem. Dalam penelitianya, Abou al-Fadl menemukan bahwa fatwa keagamaan menjadi problem bagi umat, karena fatwa itu bersifat dangkal, penuh prasangka, tidak komprehensif, tidak sistematik, eksploitatif, selektif dan oportunistik </w:t>
      </w:r>
      <w:r w:rsidRPr="00C55B9C">
        <w:rPr>
          <w:rFonts w:eastAsia="SimSun"/>
          <w:kern w:val="2"/>
          <w:lang w:eastAsia="zh-CN"/>
        </w:rPr>
        <w:fldChar w:fldCharType="begin" w:fldLock="1"/>
      </w:r>
      <w:r w:rsidR="00B829C5" w:rsidRPr="00C55B9C">
        <w:rPr>
          <w:rFonts w:ascii="Palatino Linotype" w:eastAsia="SimSun" w:hAnsi="Palatino Linotype" w:cs="Times New Roman"/>
          <w:kern w:val="2"/>
          <w:sz w:val="24"/>
          <w:szCs w:val="24"/>
          <w:lang w:eastAsia="zh-CN"/>
        </w:rPr>
        <w:instrText>ADDIN CSL_CITATION {"citationItems":[{"id":"ITEM-1","itemData":{"ISBN":"978-1-78074-468-1","author":[{"dropping-particle":"","family":"El-Fadl","given":"Khaled M. Abou","non-dropping-particle":"","parse-names":false,"suffix":""}],"id":"ITEM-1","issued":{"date-parts":[["2014"]]},"publisher":"Oneworld Publications","publisher-place":"London, England","title":"Speaking in God’s Name: Islamic Law, Authority, and Women","type":"book"},"uris":["http://www.mendeley.com/documents/?uuid=c0c7f2ff-6d36-4fab-881b-ea76b0dda430"]}],"mendeley":{"formattedCitation":"(El-Fadl, 2014)","plainTextFormattedCitation":"(El-Fadl, 2014)","previouslyFormattedCitation":"(El-Fadl, 2014)"},"properties":{"noteIndex":0},"schema":"https://github.com/citation-style-language/schema/raw/master/csl-citation.json"}</w:instrText>
      </w:r>
      <w:r w:rsidRPr="00C55B9C">
        <w:rPr>
          <w:rFonts w:eastAsia="SimSun"/>
          <w:kern w:val="2"/>
          <w:lang w:eastAsia="zh-CN"/>
        </w:rPr>
        <w:fldChar w:fldCharType="separate"/>
      </w:r>
      <w:r w:rsidR="00B829C5" w:rsidRPr="00C55B9C">
        <w:rPr>
          <w:rFonts w:ascii="Palatino Linotype" w:eastAsia="SimSun" w:hAnsi="Palatino Linotype" w:cs="Times New Roman"/>
          <w:kern w:val="2"/>
          <w:sz w:val="24"/>
          <w:szCs w:val="24"/>
          <w:lang w:eastAsia="zh-CN"/>
        </w:rPr>
        <w:t>(El-Fadl, 2014)</w:t>
      </w:r>
      <w:r w:rsidRPr="00C55B9C">
        <w:rPr>
          <w:rFonts w:eastAsia="SimSun"/>
          <w:kern w:val="2"/>
          <w:lang w:eastAsia="zh-CN"/>
        </w:rPr>
        <w:fldChar w:fldCharType="end"/>
      </w:r>
      <w:r w:rsidRPr="00C55B9C">
        <w:rPr>
          <w:rFonts w:ascii="Palatino Linotype" w:eastAsia="SimSun" w:hAnsi="Palatino Linotype" w:cs="Times New Roman"/>
          <w:kern w:val="2"/>
          <w:sz w:val="24"/>
          <w:szCs w:val="24"/>
          <w:lang w:eastAsia="zh-CN"/>
        </w:rPr>
        <w:t>. Watak fatwa yang demikian ini muncul, dalam pandanga Abou al-Fadl, karena sikap otoritarianisme dan eksploitatif terhadap teks (Nash). Prilaku otoriter (sewenang-wenang) dan eksploitatif terhadap teks (nash), dilakukan dengan beberapa modus, yaitu: 1) mengunci dan mengurung kehendak Tuhan atau kehendak teks</w:t>
      </w:r>
      <w:r w:rsidR="00FE5443" w:rsidRPr="00C55B9C">
        <w:rPr>
          <w:rFonts w:ascii="Palatino Linotype" w:eastAsia="SimSun" w:hAnsi="Palatino Linotype" w:cs="Times New Roman"/>
          <w:kern w:val="2"/>
          <w:sz w:val="24"/>
          <w:szCs w:val="24"/>
          <w:lang w:eastAsia="zh-CN"/>
        </w:rPr>
        <w:t xml:space="preserve"> </w:t>
      </w:r>
      <w:r w:rsidR="00FE5443" w:rsidRPr="00C55B9C">
        <w:rPr>
          <w:rFonts w:ascii="Palatino Linotype" w:eastAsia="SimSun" w:hAnsi="Palatino Linotype" w:cs="Times New Roman"/>
          <w:kern w:val="2"/>
          <w:sz w:val="24"/>
          <w:szCs w:val="24"/>
          <w:lang w:eastAsia="zh-CN"/>
        </w:rPr>
        <w:fldChar w:fldCharType="begin" w:fldLock="1"/>
      </w:r>
      <w:r w:rsidR="00B829C5" w:rsidRPr="00C55B9C">
        <w:rPr>
          <w:rFonts w:ascii="Palatino Linotype" w:eastAsia="SimSun" w:hAnsi="Palatino Linotype" w:cs="Times New Roman"/>
          <w:kern w:val="2"/>
          <w:sz w:val="24"/>
          <w:szCs w:val="24"/>
          <w:lang w:eastAsia="zh-CN"/>
        </w:rPr>
        <w:instrText>ADDIN CSL_CITATION {"citationItems":[{"id":"ITEM-1","itemData":{"ISBN":"978-1-78074-468-1","author":[{"dropping-particle":"","family":"El-Fadl","given":"Khaled M. Abou","non-dropping-particle":"","parse-names":false,"suffix":""}],"id":"ITEM-1","issued":{"date-parts":[["2014"]]},"publisher":"Oneworld Publications","publisher-place":"London, England","title":"Speaking in God’s Name: Islamic Law, Authority, and Women","type":"book"},"uris":["http://www.mendeley.com/documents/?uuid=c0c7f2ff-6d36-4fab-881b-ea76b0dda430"]}],"mendeley":{"formattedCitation":"(El-Fadl, 2014)","plainTextFormattedCitation":"(El-Fadl, 2014)","previouslyFormattedCitation":"(El-Fadl, 2014)"},"properties":{"noteIndex":0},"schema":"https://github.com/citation-style-language/schema/raw/master/csl-citation.json"}</w:instrText>
      </w:r>
      <w:r w:rsidR="00FE5443" w:rsidRPr="00C55B9C">
        <w:rPr>
          <w:rFonts w:ascii="Palatino Linotype" w:eastAsia="SimSun" w:hAnsi="Palatino Linotype" w:cs="Times New Roman"/>
          <w:kern w:val="2"/>
          <w:sz w:val="24"/>
          <w:szCs w:val="24"/>
          <w:lang w:eastAsia="zh-CN"/>
        </w:rPr>
        <w:fldChar w:fldCharType="separate"/>
      </w:r>
      <w:r w:rsidR="00B829C5" w:rsidRPr="00C55B9C">
        <w:rPr>
          <w:rFonts w:ascii="Palatino Linotype" w:eastAsia="SimSun" w:hAnsi="Palatino Linotype" w:cs="Times New Roman"/>
          <w:kern w:val="2"/>
          <w:sz w:val="24"/>
          <w:szCs w:val="24"/>
          <w:lang w:eastAsia="zh-CN"/>
        </w:rPr>
        <w:t>(El-Fadl, 2014)</w:t>
      </w:r>
      <w:r w:rsidR="00FE5443" w:rsidRPr="00C55B9C">
        <w:rPr>
          <w:rFonts w:ascii="Palatino Linotype" w:eastAsia="SimSun" w:hAnsi="Palatino Linotype" w:cs="Times New Roman"/>
          <w:kern w:val="2"/>
          <w:sz w:val="24"/>
          <w:szCs w:val="24"/>
          <w:lang w:eastAsia="zh-CN"/>
        </w:rPr>
        <w:fldChar w:fldCharType="end"/>
      </w:r>
      <w:r w:rsidRPr="00C55B9C">
        <w:rPr>
          <w:rFonts w:ascii="Palatino Linotype" w:eastAsia="SimSun" w:hAnsi="Palatino Linotype" w:cs="Times New Roman"/>
          <w:kern w:val="2"/>
          <w:sz w:val="24"/>
          <w:szCs w:val="24"/>
          <w:lang w:eastAsia="zh-CN"/>
        </w:rPr>
        <w:t>, 2) melampaui otoritas atau kekuasaan yang dimandatkan</w:t>
      </w:r>
      <w:r w:rsidR="00001A5F" w:rsidRPr="00C55B9C">
        <w:rPr>
          <w:rFonts w:ascii="Palatino Linotype" w:eastAsia="SimSun" w:hAnsi="Palatino Linotype" w:cs="Times New Roman"/>
          <w:kern w:val="2"/>
          <w:sz w:val="24"/>
          <w:szCs w:val="24"/>
          <w:lang w:eastAsia="zh-CN"/>
        </w:rPr>
        <w:t xml:space="preserve"> </w:t>
      </w:r>
      <w:r w:rsidR="00001A5F" w:rsidRPr="00C55B9C">
        <w:rPr>
          <w:rFonts w:ascii="Palatino Linotype" w:eastAsia="SimSun" w:hAnsi="Palatino Linotype" w:cs="Times New Roman"/>
          <w:kern w:val="2"/>
          <w:sz w:val="24"/>
          <w:szCs w:val="24"/>
          <w:lang w:eastAsia="zh-CN"/>
        </w:rPr>
        <w:fldChar w:fldCharType="begin" w:fldLock="1"/>
      </w:r>
      <w:r w:rsidR="00B829C5" w:rsidRPr="00C55B9C">
        <w:rPr>
          <w:rFonts w:ascii="Palatino Linotype" w:eastAsia="SimSun" w:hAnsi="Palatino Linotype" w:cs="Times New Roman"/>
          <w:kern w:val="2"/>
          <w:sz w:val="24"/>
          <w:szCs w:val="24"/>
          <w:lang w:eastAsia="zh-CN"/>
        </w:rPr>
        <w:instrText>ADDIN CSL_CITATION {"citationItems":[{"id":"ITEM-1","itemData":{"ISBN":"978-1-78074-468-1","author":[{"dropping-particle":"","family":"El-Fadl","given":"Khaled M. Abou","non-dropping-particle":"","parse-names":false,"suffix":""}],"id":"ITEM-1","issued":{"date-parts":[["2014"]]},"publisher":"Oneworld Publications","publisher-place":"London, England","title":"Speaking in God’s Name: Islamic Law, Authority, and Women","type":"book"},"uris":["http://www.mendeley.com/documents/?uuid=c0c7f2ff-6d36-4fab-881b-ea76b0dda430"]}],"mendeley":{"formattedCitation":"(El-Fadl, 2014)","plainTextFormattedCitation":"(El-Fadl, 2014)","previouslyFormattedCitation":"(El-Fadl, 2014)"},"properties":{"noteIndex":0},"schema":"https://github.com/citation-style-language/schema/raw/master/csl-citation.json"}</w:instrText>
      </w:r>
      <w:r w:rsidR="00001A5F" w:rsidRPr="00C55B9C">
        <w:rPr>
          <w:rFonts w:ascii="Palatino Linotype" w:eastAsia="SimSun" w:hAnsi="Palatino Linotype" w:cs="Times New Roman"/>
          <w:kern w:val="2"/>
          <w:sz w:val="24"/>
          <w:szCs w:val="24"/>
          <w:lang w:eastAsia="zh-CN"/>
        </w:rPr>
        <w:fldChar w:fldCharType="separate"/>
      </w:r>
      <w:r w:rsidR="00B829C5" w:rsidRPr="00C55B9C">
        <w:rPr>
          <w:rFonts w:ascii="Palatino Linotype" w:eastAsia="SimSun" w:hAnsi="Palatino Linotype" w:cs="Times New Roman"/>
          <w:kern w:val="2"/>
          <w:sz w:val="24"/>
          <w:szCs w:val="24"/>
          <w:lang w:eastAsia="zh-CN"/>
        </w:rPr>
        <w:t>(El-Fadl, 2014)</w:t>
      </w:r>
      <w:r w:rsidR="00001A5F" w:rsidRPr="00C55B9C">
        <w:rPr>
          <w:rFonts w:ascii="Palatino Linotype" w:eastAsia="SimSun" w:hAnsi="Palatino Linotype" w:cs="Times New Roman"/>
          <w:kern w:val="2"/>
          <w:sz w:val="24"/>
          <w:szCs w:val="24"/>
          <w:lang w:eastAsia="zh-CN"/>
        </w:rPr>
        <w:fldChar w:fldCharType="end"/>
      </w:r>
      <w:r w:rsidRPr="00C55B9C">
        <w:rPr>
          <w:rFonts w:ascii="Palatino Linotype" w:eastAsia="SimSun" w:hAnsi="Palatino Linotype" w:cs="Times New Roman"/>
          <w:kern w:val="2"/>
          <w:sz w:val="24"/>
          <w:szCs w:val="24"/>
          <w:lang w:eastAsia="zh-CN"/>
        </w:rPr>
        <w:t>, 3) penggunaan simbolisme dari komunitas interpretasi hukum tertentu untuk mendukung argumentasi mereka</w:t>
      </w:r>
      <w:r w:rsidR="00FE5443" w:rsidRPr="00C55B9C">
        <w:rPr>
          <w:rFonts w:ascii="Palatino Linotype" w:eastAsia="SimSun" w:hAnsi="Palatino Linotype" w:cs="Times New Roman"/>
          <w:kern w:val="2"/>
          <w:sz w:val="24"/>
          <w:szCs w:val="24"/>
          <w:lang w:eastAsia="zh-CN"/>
        </w:rPr>
        <w:fldChar w:fldCharType="begin" w:fldLock="1"/>
      </w:r>
      <w:r w:rsidR="00B829C5" w:rsidRPr="00C55B9C">
        <w:rPr>
          <w:rFonts w:ascii="Palatino Linotype" w:eastAsia="SimSun" w:hAnsi="Palatino Linotype" w:cs="Times New Roman"/>
          <w:kern w:val="2"/>
          <w:sz w:val="24"/>
          <w:szCs w:val="24"/>
          <w:lang w:eastAsia="zh-CN"/>
        </w:rPr>
        <w:instrText>ADDIN CSL_CITATION {"citationItems":[{"id":"ITEM-1","itemData":{"ISBN":"978-1-78074-468-1","author":[{"dropping-particle":"","family":"El-Fadl","given":"Khaled M. Abou","non-dropping-particle":"","parse-names":false,"suffix":""}],"id":"ITEM-1","issued":{"date-parts":[["2014"]]},"publisher":"Oneworld Publications","publisher-place":"London, England","title":"Speaking in God’s Name: Islamic Law, Authority, and Women","type":"book"},"uris":["http://www.mendeley.com/documents/?uuid=c0c7f2ff-6d36-4fab-881b-ea76b0dda430"]}],"mendeley":{"formattedCitation":"(El-Fadl, 2014)","plainTextFormattedCitation":"(El-Fadl, 2014)","previouslyFormattedCitation":"(El-Fadl, 2014)"},"properties":{"noteIndex":0},"schema":"https://github.com/citation-style-language/schema/raw/master/csl-citation.json"}</w:instrText>
      </w:r>
      <w:r w:rsidR="00FE5443" w:rsidRPr="00C55B9C">
        <w:rPr>
          <w:rFonts w:ascii="Palatino Linotype" w:eastAsia="SimSun" w:hAnsi="Palatino Linotype" w:cs="Times New Roman"/>
          <w:kern w:val="2"/>
          <w:sz w:val="24"/>
          <w:szCs w:val="24"/>
          <w:lang w:eastAsia="zh-CN"/>
        </w:rPr>
        <w:fldChar w:fldCharType="separate"/>
      </w:r>
      <w:r w:rsidR="00B829C5" w:rsidRPr="00C55B9C">
        <w:rPr>
          <w:rFonts w:ascii="Palatino Linotype" w:eastAsia="SimSun" w:hAnsi="Palatino Linotype" w:cs="Times New Roman"/>
          <w:kern w:val="2"/>
          <w:sz w:val="24"/>
          <w:szCs w:val="24"/>
          <w:lang w:eastAsia="zh-CN"/>
        </w:rPr>
        <w:t>(El-Fadl, 2014)</w:t>
      </w:r>
      <w:r w:rsidR="00FE5443" w:rsidRPr="00C55B9C">
        <w:rPr>
          <w:rFonts w:ascii="Palatino Linotype" w:eastAsia="SimSun" w:hAnsi="Palatino Linotype" w:cs="Times New Roman"/>
          <w:kern w:val="2"/>
          <w:sz w:val="24"/>
          <w:szCs w:val="24"/>
          <w:lang w:eastAsia="zh-CN"/>
        </w:rPr>
        <w:fldChar w:fldCharType="end"/>
      </w:r>
      <w:r w:rsidRPr="00C55B9C">
        <w:rPr>
          <w:rFonts w:ascii="Palatino Linotype" w:eastAsia="SimSun" w:hAnsi="Palatino Linotype" w:cs="Times New Roman"/>
          <w:kern w:val="2"/>
          <w:sz w:val="24"/>
          <w:szCs w:val="24"/>
          <w:lang w:eastAsia="zh-CN"/>
        </w:rPr>
        <w:t xml:space="preserve">, 4) pengabaian terhadap realitas ontologisme Tuhan dan pengambilalihan kehendak Tuhan oleh wakil Tuhan sehingga wakil tersebut secara efektif kemudian mengacu kepada dirinya sendiri. Temuan Abou al-Fadl ini, saat beliau melakukan riset terhadap fatwa-fatwa yang dikeluarkan oleh lembaga fatwa Saudi Arabia, yaitu al-Lajnah al-Da’imah li al-Buhuts al-‘ilmiyyah wa al-ifta’ (Council for Scientific research and legal Opinions, CRLO). </w:t>
      </w:r>
    </w:p>
    <w:p w:rsidR="00D757DA" w:rsidRPr="00C55B9C" w:rsidRDefault="00D757DA" w:rsidP="00C55B9C">
      <w:pPr>
        <w:widowControl w:val="0"/>
        <w:spacing w:after="120" w:line="240" w:lineRule="auto"/>
        <w:ind w:firstLine="567"/>
        <w:jc w:val="both"/>
        <w:rPr>
          <w:rFonts w:ascii="Palatino Linotype" w:eastAsia="SimSun" w:hAnsi="Palatino Linotype" w:cs="Times New Roman"/>
          <w:kern w:val="2"/>
          <w:sz w:val="24"/>
          <w:szCs w:val="24"/>
          <w:lang w:eastAsia="zh-CN"/>
        </w:rPr>
      </w:pPr>
      <w:r w:rsidRPr="00C55B9C">
        <w:rPr>
          <w:rFonts w:ascii="Palatino Linotype" w:eastAsia="SimSun" w:hAnsi="Palatino Linotype" w:cs="Times New Roman"/>
          <w:kern w:val="2"/>
          <w:sz w:val="24"/>
          <w:szCs w:val="24"/>
          <w:lang w:eastAsia="zh-CN"/>
        </w:rPr>
        <w:t>Dalam konteks Indonesia, beberap fatwa yang dikeluarkan oleh MUI terkait dengan penyimpangan, aliran sesat dan penghinaan agama, disinyalir banyak menimbulkan problem bagi umat. Karena fatwa-fatwa itu justru menimbulkan prahara konflik di tengah masyarakat yang majemuk, bukan menjadi solusi yang menentramkan. Syafiq Hasim, dalam penelitiannya menunjukan bahwa beberapa fatwa MUI, disebut telah mendiskriminasi umat minoritas di Indonesia,</w:t>
      </w:r>
      <w:r w:rsidRPr="00C55B9C">
        <w:rPr>
          <w:rFonts w:eastAsia="SimSun"/>
          <w:kern w:val="2"/>
          <w:lang w:eastAsia="zh-CN"/>
        </w:rPr>
        <w:fldChar w:fldCharType="begin" w:fldLock="1"/>
      </w:r>
      <w:r w:rsidRPr="00C55B9C">
        <w:rPr>
          <w:rFonts w:ascii="Palatino Linotype" w:eastAsia="SimSun" w:hAnsi="Palatino Linotype" w:cs="Times New Roman"/>
          <w:kern w:val="2"/>
          <w:sz w:val="24"/>
          <w:szCs w:val="24"/>
          <w:lang w:eastAsia="zh-CN"/>
        </w:rPr>
        <w:instrText>ADDIN CSL_CITATION {"citationItems":[{"id":"ITEM-1","itemData":{"abstract":"MUI (Majelis Ulama Indonesia) adalah sebuah lembaga bentukan pemerintah Indonesiayang salah satu fungsinya untuk merumuskan fatwa-fatwa keagamaan. KeberadaanMUI sebagai representasi berbagai ormas keagamaan, dan karenanya diklaim sebagai tenda besar umat Islam, menjadi dasar atas adanya fungsi tersebut. Namun demikian fatwa-fatwa MUI tentang aliran keagamaan di Indonesia dianggap turut bertanggung-jawab atas terjadinya perlaku diskriminatif dan kekerasan berbasis agama. Artikel iniingin melihat aspek politik hukum fatwa MUI tentang aliran dan kelompok sesat yangdianggap sebagai penghambat kebebasan beragama di Indonesia dan sekaligus jugasebagai pemicu aksi-aksi kekerasan berbasis agama. Tulisan ini juga ingin menilai faktor dinamis yang berkaitan dengan semakin menguatnya posisi MUI sebagai “polisi akidah”di Indonesia. Fatwa MUI tentang aliran sesat setidaknya dapat dianalisis melalui duapendekatan. Pertama, menganalisis aliran dan kelompok sesat dalam perspektif wacanapenodaan ag ama (blasphemy), dan kedua, melihat aliran dan kelompok sesat tersebut dari perspektif wacana pluralisme hukum, pelembagaan MUI dan juga teologinya","author":[{"dropping-particle":"","family":"Hasyim","given":"Syafiq","non-dropping-particle":"","parse-names":false,"suffix":""}],"container-title":"AL-AHKAM","id":"ITEM-1","issue":"2","issued":{"date-parts":[["2015"]]},"page":"241-266","title":"Fatwa Aliran Sesat Dan Politik Hukum Majelis Ulama Indonesia (MUI)","type":"article-journal","volume":"25"},"uris":["http://www.mendeley.com/documents/?uuid=6067a9a6-a6f2-47d6-b389-70680de943d5"]}],"mendeley":{"formattedCitation":"(Hasyim, 2015)","plainTextFormattedCitation":"(Hasyim, 2015)","previouslyFormattedCitation":"(Hasyim, 2015)"},"properties":{"noteIndex":0},"schema":"https://github.com/citation-style-language/schema/raw/master/csl-citation.json"}</w:instrText>
      </w:r>
      <w:r w:rsidRPr="00C55B9C">
        <w:rPr>
          <w:rFonts w:eastAsia="SimSun"/>
          <w:kern w:val="2"/>
          <w:lang w:eastAsia="zh-CN"/>
        </w:rPr>
        <w:fldChar w:fldCharType="separate"/>
      </w:r>
      <w:r w:rsidRPr="00C55B9C">
        <w:rPr>
          <w:rFonts w:ascii="Palatino Linotype" w:eastAsia="SimSun" w:hAnsi="Palatino Linotype" w:cs="Times New Roman"/>
          <w:kern w:val="2"/>
          <w:sz w:val="24"/>
          <w:szCs w:val="24"/>
          <w:lang w:eastAsia="zh-CN"/>
        </w:rPr>
        <w:t>(Hasyim, 2015)</w:t>
      </w:r>
      <w:r w:rsidRPr="00C55B9C">
        <w:rPr>
          <w:rFonts w:eastAsia="SimSun"/>
          <w:kern w:val="2"/>
          <w:lang w:eastAsia="zh-CN"/>
        </w:rPr>
        <w:fldChar w:fldCharType="end"/>
      </w:r>
      <w:r w:rsidRPr="00C55B9C">
        <w:rPr>
          <w:rFonts w:ascii="Palatino Linotype" w:eastAsia="SimSun" w:hAnsi="Palatino Linotype" w:cs="Times New Roman"/>
          <w:kern w:val="2"/>
          <w:sz w:val="24"/>
          <w:szCs w:val="24"/>
          <w:lang w:eastAsia="zh-CN"/>
        </w:rPr>
        <w:t xml:space="preserve"> dan bahkan tidak sekedar mendiskriminasi tetapi juga memunculkan stigama dan tindakan persekusi.</w:t>
      </w:r>
      <w:r w:rsidRPr="00C55B9C">
        <w:rPr>
          <w:rFonts w:eastAsia="SimSun"/>
          <w:kern w:val="2"/>
          <w:lang w:eastAsia="zh-CN"/>
        </w:rPr>
        <w:fldChar w:fldCharType="begin" w:fldLock="1"/>
      </w:r>
      <w:r w:rsidRPr="00C55B9C">
        <w:rPr>
          <w:rFonts w:ascii="Palatino Linotype" w:eastAsia="SimSun" w:hAnsi="Palatino Linotype" w:cs="Times New Roman"/>
          <w:kern w:val="2"/>
          <w:sz w:val="24"/>
          <w:szCs w:val="24"/>
          <w:lang w:eastAsia="zh-CN"/>
        </w:rPr>
        <w:instrText>ADDIN CSL_CITATION {"citationItems":[{"id":"ITEM-1","itemData":{"abstract":"Ahmadiyah di Indonesia, bukanlah kelompok minoritas keagamaan yang baru.Sejak era reformasi, keberadaan mereka mulai mendapat perlawanan darimasyarakat luas. Diskriminasi dan kekerasan terhadap kelompok ini meningkattajam. Dengan menggunakan metode studi dokumen, tulisan ini bertujuan untukmenjelaskan proses munculnya prasangka pada kelompok minoritas Ahmadiyahdan menunjukkan peran komunikasi dalam menjembatani hubunganantarkelompok mayoritas dan minoritas di Indonesia. Ekspresi prasangka yangberpangkal dari konsep GW Allport (1954) dan dikembangkan oleh Samovar(2013) digunakan sebagai kerangka konseptual. Tulisan ini menemukan bahwaAhmadiyah di Indonesia dewasa ini, tidak lagi berada dalam tahapterdiskriminasi, namun telah melampui tahap itu, yakni tahap extermination.Berbagai kasus kekerasan yang menimpa kelompok tersebut justru menunjukkanadanya gejala baru ke arah pemusnahan terhadap kelompok Ahmadiya","author":[{"dropping-particle":"","family":"Halimatusa’diah","given":"","non-dropping-particle":"","parse-names":false,"suffix":""}],"container-title":"Jurnal Avant Garde","id":"ITEM-1","issue":"1","issued":{"date-parts":[["2017"]]},"page":"1-20","title":"Dari Prasangka Hingga Diskriminasi: Menyoal Stigma Sesat Dan Kekerasan Terhadap Ahmadiyah Dalam Perspektif Komunikasi","type":"article-journal","volume":"5"},"uris":["http://www.mendeley.com/documents/?uuid=b2a5d70d-01a5-4170-917b-c9995d7198d0"]}],"mendeley":{"formattedCitation":"(Halimatusa’diah, 2017)","plainTextFormattedCitation":"(Halimatusa’diah, 2017)","previouslyFormattedCitation":"(Halimatusa’diah, 2017)"},"properties":{"noteIndex":0},"schema":"https://github.com/citation-style-language/schema/raw/master/csl-citation.json"}</w:instrText>
      </w:r>
      <w:r w:rsidRPr="00C55B9C">
        <w:rPr>
          <w:rFonts w:eastAsia="SimSun"/>
          <w:kern w:val="2"/>
          <w:lang w:eastAsia="zh-CN"/>
        </w:rPr>
        <w:fldChar w:fldCharType="separate"/>
      </w:r>
      <w:r w:rsidRPr="00C55B9C">
        <w:rPr>
          <w:rFonts w:ascii="Palatino Linotype" w:eastAsia="SimSun" w:hAnsi="Palatino Linotype" w:cs="Times New Roman"/>
          <w:kern w:val="2"/>
          <w:sz w:val="24"/>
          <w:szCs w:val="24"/>
          <w:lang w:eastAsia="zh-CN"/>
        </w:rPr>
        <w:t>(Halimatusa’diah, 2017)</w:t>
      </w:r>
      <w:r w:rsidRPr="00C55B9C">
        <w:rPr>
          <w:rFonts w:eastAsia="SimSun"/>
          <w:kern w:val="2"/>
          <w:lang w:eastAsia="zh-CN"/>
        </w:rPr>
        <w:fldChar w:fldCharType="end"/>
      </w:r>
      <w:r w:rsidRPr="00C55B9C">
        <w:rPr>
          <w:rFonts w:ascii="Palatino Linotype" w:eastAsia="SimSun" w:hAnsi="Palatino Linotype" w:cs="Times New Roman"/>
          <w:kern w:val="2"/>
          <w:sz w:val="24"/>
          <w:szCs w:val="24"/>
          <w:lang w:eastAsia="zh-CN"/>
        </w:rPr>
        <w:t xml:space="preserve"> Hal ini sebagaimana yang dirasakan </w:t>
      </w:r>
      <w:r w:rsidRPr="00C55B9C">
        <w:rPr>
          <w:rFonts w:ascii="Palatino Linotype" w:eastAsia="SimSun" w:hAnsi="Palatino Linotype" w:cs="Times New Roman"/>
          <w:kern w:val="2"/>
          <w:sz w:val="24"/>
          <w:szCs w:val="24"/>
          <w:lang w:eastAsia="zh-CN"/>
        </w:rPr>
        <w:lastRenderedPageBreak/>
        <w:t>oleh pengikut Ahmadiyah</w:t>
      </w:r>
      <w:r w:rsidR="00BA7706">
        <w:rPr>
          <w:rFonts w:ascii="Palatino Linotype" w:eastAsia="SimSun" w:hAnsi="Palatino Linotype" w:cs="Times New Roman"/>
          <w:kern w:val="2"/>
          <w:sz w:val="24"/>
          <w:szCs w:val="24"/>
          <w:lang w:eastAsia="zh-CN"/>
        </w:rPr>
        <w:t xml:space="preserve"> </w:t>
      </w:r>
      <w:r w:rsidRPr="00C55B9C">
        <w:rPr>
          <w:rFonts w:eastAsia="SimSun"/>
          <w:kern w:val="2"/>
          <w:lang w:eastAsia="zh-CN"/>
        </w:rPr>
        <w:fldChar w:fldCharType="begin" w:fldLock="1"/>
      </w:r>
      <w:r w:rsidR="00001A5F" w:rsidRPr="00C55B9C">
        <w:rPr>
          <w:rFonts w:ascii="Palatino Linotype" w:eastAsia="SimSun" w:hAnsi="Palatino Linotype" w:cs="Times New Roman"/>
          <w:kern w:val="2"/>
          <w:sz w:val="24"/>
          <w:szCs w:val="24"/>
          <w:lang w:eastAsia="zh-CN"/>
        </w:rPr>
        <w:instrText>ADDIN CSL_CITATION {"citationItems":[{"id":"ITEM-1","itemData":{"abstract":"Jemaat Ahmadiyah Indonesia (JAI) yang berada di Kota Tangerang Selatanmerupakan kelompok minoritas yang sering mengalami praktek diskriminasi.Praktek diskriminasi yang dialami komunitas ini bersifat verbal melalui penyebutan‘sesat’ dan ‘diluar Islam’. Serta non-verbal yang berujung pada pelaranganpembangunan tempat ibadah, dan penolakan keberadaan Ahmadiyah. Perilakudiskriminasi ini timbul dari perilaku sosial yang tercipta oleh aktor dan budayayang ada. Sehingga muncul rumusan masalah bagaimana relasi agen dan strukturmasyarakat dalam perilaku diskriminasi terhadap komunitas JAI di Kota TangerangSelatan. Analisis dalam penelitian ini dibedah menggunakan teori StrukturasiAnthony Giddens yang menjelaskan konsep hubungan dualitas struktur. Jenispenelitian ini adalah kualitatif dengan metode studi kasus. Hasil penelitian inimenunjukan terdapatnya pola praktik sosial yang diciptakan oleh kelompok anti-Ahamdiyah serta pengusaanya dalam gugus struktur yakni dominasi, signifikasi,dan legitimasi. Praktik sosial ini menyebabkan terbentuknya rutinitas yang tidakmampu di de-rutinitaskan oleh kelompok Ahmadiyah, sehingga mereka beradadalam lingkaran yang membuatnya terdiskriminasi","author":[{"dropping-particle":"","family":"Simamora","given":"Apriadi Richi","non-dropping-particle":"","parse-names":false,"suffix":""},{"dropping-particle":"","family":"Hamid","given":"Abdul","non-dropping-particle":"","parse-names":false,"suffix":""},{"dropping-particle":"","family":"Hikmawan","given":"M. Dian","non-dropping-particle":"","parse-names":false,"suffix":""}],"container-title":"IJD: International Journal of DEMOs","id":"ITEM-1","issue":"1","issued":{"date-parts":[["2019"]]},"page":"19-37","title":"Diskriminasi Terhadap Kelompok Minoritas Jemaat AhmadiyahIndonesia (JAI) di Tangerang Selatan","type":"article-journal","volume":"1"},"uris":["http://www.mendeley.com/documents/?uuid=145bd7a8-f972-416c-86e6-27174c53d35e"]}],"mendeley":{"formattedCitation":"(Simamora, Hamid, &amp; Hikmawan, 2019)","plainTextFormattedCitation":"(Simamora, Hamid, &amp; Hikmawan, 2019)","previouslyFormattedCitation":"(Simamora, Hamid, &amp; Hikmawan, 2019)"},"properties":{"noteIndex":0},"schema":"https://github.com/citation-style-language/schema/raw/master/csl-citation.json"}</w:instrText>
      </w:r>
      <w:r w:rsidRPr="00C55B9C">
        <w:rPr>
          <w:rFonts w:eastAsia="SimSun"/>
          <w:kern w:val="2"/>
          <w:lang w:eastAsia="zh-CN"/>
        </w:rPr>
        <w:fldChar w:fldCharType="separate"/>
      </w:r>
      <w:r w:rsidR="00001A5F" w:rsidRPr="00C55B9C">
        <w:rPr>
          <w:rFonts w:ascii="Palatino Linotype" w:eastAsia="SimSun" w:hAnsi="Palatino Linotype" w:cs="Times New Roman"/>
          <w:kern w:val="2"/>
          <w:sz w:val="24"/>
          <w:szCs w:val="24"/>
          <w:lang w:eastAsia="zh-CN"/>
        </w:rPr>
        <w:t>(Simamora, Hamid, &amp; Hikmawan, 2019)</w:t>
      </w:r>
      <w:r w:rsidRPr="00C55B9C">
        <w:rPr>
          <w:rFonts w:eastAsia="SimSun"/>
          <w:kern w:val="2"/>
          <w:lang w:eastAsia="zh-CN"/>
        </w:rPr>
        <w:fldChar w:fldCharType="end"/>
      </w:r>
      <w:r w:rsidRPr="00C55B9C">
        <w:rPr>
          <w:rFonts w:ascii="Palatino Linotype" w:eastAsia="SimSun" w:hAnsi="Palatino Linotype" w:cs="Times New Roman"/>
          <w:kern w:val="2"/>
          <w:sz w:val="24"/>
          <w:szCs w:val="24"/>
          <w:lang w:eastAsia="zh-CN"/>
        </w:rPr>
        <w:t xml:space="preserve"> dan Syiah</w:t>
      </w:r>
      <w:r w:rsidR="00BA7706">
        <w:rPr>
          <w:rFonts w:ascii="Palatino Linotype" w:eastAsia="SimSun" w:hAnsi="Palatino Linotype" w:cs="Times New Roman"/>
          <w:kern w:val="2"/>
          <w:sz w:val="24"/>
          <w:szCs w:val="24"/>
          <w:lang w:eastAsia="zh-CN"/>
        </w:rPr>
        <w:t xml:space="preserve"> </w:t>
      </w:r>
      <w:r w:rsidRPr="00C55B9C">
        <w:rPr>
          <w:rFonts w:eastAsia="SimSun"/>
          <w:kern w:val="2"/>
          <w:lang w:eastAsia="zh-CN"/>
        </w:rPr>
        <w:fldChar w:fldCharType="begin" w:fldLock="1"/>
      </w:r>
      <w:r w:rsidRPr="00C55B9C">
        <w:rPr>
          <w:rFonts w:ascii="Palatino Linotype" w:eastAsia="SimSun" w:hAnsi="Palatino Linotype" w:cs="Times New Roman"/>
          <w:kern w:val="2"/>
          <w:sz w:val="24"/>
          <w:szCs w:val="24"/>
          <w:lang w:eastAsia="zh-CN"/>
        </w:rPr>
        <w:instrText>ADDIN CSL_CITATION {"citationItems":[{"id":"ITEM-1","itemData":{"abstract":"Studi skripsi ini membahas tentang fatwa yang dikeluarkan oleh Majelis Ulama Indonesia (MUI) tentang aliran pemikiran Syiah. Penelitian ini menggunakan teori maqā</w:instrText>
      </w:r>
      <w:r w:rsidRPr="00C55B9C">
        <w:rPr>
          <w:rFonts w:ascii="Cambria" w:eastAsia="SimSun" w:hAnsi="Cambria" w:cs="Cambria"/>
          <w:kern w:val="2"/>
          <w:sz w:val="24"/>
          <w:szCs w:val="24"/>
          <w:lang w:eastAsia="zh-CN"/>
        </w:rPr>
        <w:instrText>ṣ</w:instrText>
      </w:r>
      <w:r w:rsidRPr="00C55B9C">
        <w:rPr>
          <w:rFonts w:ascii="Palatino Linotype" w:eastAsia="SimSun" w:hAnsi="Palatino Linotype" w:cs="Times New Roman"/>
          <w:kern w:val="2"/>
          <w:sz w:val="24"/>
          <w:szCs w:val="24"/>
          <w:lang w:eastAsia="zh-CN"/>
        </w:rPr>
        <w:instrText>id syarī'ah yang dirumuskan oleh Jasser Auda dalam mengeksplorasi masalah-masalah yang terkandung dalam fatwa MUI tentang Syiah. Maqā</w:instrText>
      </w:r>
      <w:r w:rsidRPr="00C55B9C">
        <w:rPr>
          <w:rFonts w:ascii="Cambria" w:eastAsia="SimSun" w:hAnsi="Cambria" w:cs="Cambria"/>
          <w:kern w:val="2"/>
          <w:sz w:val="24"/>
          <w:szCs w:val="24"/>
          <w:lang w:eastAsia="zh-CN"/>
        </w:rPr>
        <w:instrText>ṣ</w:instrText>
      </w:r>
      <w:r w:rsidRPr="00C55B9C">
        <w:rPr>
          <w:rFonts w:ascii="Palatino Linotype" w:eastAsia="SimSun" w:hAnsi="Palatino Linotype" w:cs="Times New Roman"/>
          <w:kern w:val="2"/>
          <w:sz w:val="24"/>
          <w:szCs w:val="24"/>
          <w:lang w:eastAsia="zh-CN"/>
        </w:rPr>
        <w:instrText>id syarī'ah yang diformulasikan oleh Jasser Auda bukanlah suatu hal yang baru. Jasser Auda merekonstruksi maqā</w:instrText>
      </w:r>
      <w:r w:rsidRPr="00C55B9C">
        <w:rPr>
          <w:rFonts w:ascii="Cambria" w:eastAsia="SimSun" w:hAnsi="Cambria" w:cs="Cambria"/>
          <w:kern w:val="2"/>
          <w:sz w:val="24"/>
          <w:szCs w:val="24"/>
          <w:lang w:eastAsia="zh-CN"/>
        </w:rPr>
        <w:instrText>ṣ</w:instrText>
      </w:r>
      <w:r w:rsidRPr="00C55B9C">
        <w:rPr>
          <w:rFonts w:ascii="Palatino Linotype" w:eastAsia="SimSun" w:hAnsi="Palatino Linotype" w:cs="Times New Roman"/>
          <w:kern w:val="2"/>
          <w:sz w:val="24"/>
          <w:szCs w:val="24"/>
          <w:lang w:eastAsia="zh-CN"/>
        </w:rPr>
        <w:instrText>id syarī'ah melalui integrasi antara ushul fiqh dengan teori sistem. Rekonstruksi kemudian menghasilkan enam prinsip yang harus dipertimbangkan untuk hukum Islam dapat menekankan sisi maqā</w:instrText>
      </w:r>
      <w:r w:rsidRPr="00C55B9C">
        <w:rPr>
          <w:rFonts w:ascii="Cambria" w:eastAsia="SimSun" w:hAnsi="Cambria" w:cs="Cambria"/>
          <w:kern w:val="2"/>
          <w:sz w:val="24"/>
          <w:szCs w:val="24"/>
          <w:lang w:eastAsia="zh-CN"/>
        </w:rPr>
        <w:instrText>ṣ</w:instrText>
      </w:r>
      <w:r w:rsidRPr="00C55B9C">
        <w:rPr>
          <w:rFonts w:ascii="Palatino Linotype" w:eastAsia="SimSun" w:hAnsi="Palatino Linotype" w:cs="Times New Roman"/>
          <w:kern w:val="2"/>
          <w:sz w:val="24"/>
          <w:szCs w:val="24"/>
          <w:lang w:eastAsia="zh-CN"/>
        </w:rPr>
        <w:instrText>id syarī'ah. Keenam prinsip itu adalah hirarki kognitif, holistik, berpikiran terbuka, saling terkait, multidimensi dan bermakna. Belajar melalui maqā</w:instrText>
      </w:r>
      <w:r w:rsidRPr="00C55B9C">
        <w:rPr>
          <w:rFonts w:ascii="Cambria" w:eastAsia="SimSun" w:hAnsi="Cambria" w:cs="Cambria"/>
          <w:kern w:val="2"/>
          <w:sz w:val="24"/>
          <w:szCs w:val="24"/>
          <w:lang w:eastAsia="zh-CN"/>
        </w:rPr>
        <w:instrText>ṣ</w:instrText>
      </w:r>
      <w:r w:rsidRPr="00C55B9C">
        <w:rPr>
          <w:rFonts w:ascii="Palatino Linotype" w:eastAsia="SimSun" w:hAnsi="Palatino Linotype" w:cs="Times New Roman"/>
          <w:kern w:val="2"/>
          <w:sz w:val="24"/>
          <w:szCs w:val="24"/>
          <w:lang w:eastAsia="zh-CN"/>
        </w:rPr>
        <w:instrText>id syarī'ah menunjukkan bahwa fatwa MUI tentang Syiah sedang berlangsung tahap epistemologi. Epistemologi berkaitan dengan fundamental penetapan fatwa MUI, yaitu sumber hukum dan metode penentuan fatwa. Masalahnya adalah bahwa MUI cenderung menggunakan sudut pandang yang madhhab-sentris, sudut pandang yang hanya merujuk di satu sekolah tertentu. Hasil penelitian ini menunjukkan bahwa maqā</w:instrText>
      </w:r>
      <w:r w:rsidRPr="00C55B9C">
        <w:rPr>
          <w:rFonts w:ascii="Cambria" w:eastAsia="SimSun" w:hAnsi="Cambria" w:cs="Cambria"/>
          <w:kern w:val="2"/>
          <w:sz w:val="24"/>
          <w:szCs w:val="24"/>
          <w:lang w:eastAsia="zh-CN"/>
        </w:rPr>
        <w:instrText>ṣ</w:instrText>
      </w:r>
      <w:r w:rsidRPr="00C55B9C">
        <w:rPr>
          <w:rFonts w:ascii="Palatino Linotype" w:eastAsia="SimSun" w:hAnsi="Palatino Linotype" w:cs="Times New Roman"/>
          <w:kern w:val="2"/>
          <w:sz w:val="24"/>
          <w:szCs w:val="24"/>
          <w:lang w:eastAsia="zh-CN"/>
        </w:rPr>
        <w:instrText>id syarī'ah tidak hanya berperan dalam pemeriksaan, tetapi juga berperan penting dalam merekonstruksi penentuan dasar fatwa MUI tentang Syiah.","author":[{"dropping-particle":"","family":"Wibowo","given":"Naufal Syahrin","non-dropping-particle":"","parse-names":false,"suffix":""}],"id":"ITEM-1","issued":{"date-parts":[["2017"]]},"publisher":"Universitas Indonesia","title":"Permasalahan fatwa majelis ulama Indonesia tentang syiah: telaah kritis melalui maqā</w:instrText>
      </w:r>
      <w:r w:rsidRPr="00C55B9C">
        <w:rPr>
          <w:rFonts w:ascii="Cambria" w:eastAsia="SimSun" w:hAnsi="Cambria" w:cs="Cambria"/>
          <w:kern w:val="2"/>
          <w:sz w:val="24"/>
          <w:szCs w:val="24"/>
          <w:lang w:eastAsia="zh-CN"/>
        </w:rPr>
        <w:instrText>ṣ</w:instrText>
      </w:r>
      <w:r w:rsidRPr="00C55B9C">
        <w:rPr>
          <w:rFonts w:ascii="Palatino Linotype" w:eastAsia="SimSun" w:hAnsi="Palatino Linotype" w:cs="Times New Roman"/>
          <w:kern w:val="2"/>
          <w:sz w:val="24"/>
          <w:szCs w:val="24"/>
          <w:lang w:eastAsia="zh-CN"/>
        </w:rPr>
        <w:instrText>id syarī'ah Jasser Auda","type":"thesis"},"uris":["http://www.mendeley.com/documents/?uuid=79838cb2-5413-4c4e-818b-f90eb1b45c8d"]}],"mendeley":{"formattedCitation":"(Wibowo, 2017)","plainTextFormattedCitation":"(Wibowo, 2017)","previouslyFormattedCitation":"(Wibowo, 2017)"},"properties":{"noteIndex":0},"schema":"https://github.com/citation-style-language/schema/raw/master/csl-citation.json"}</w:instrText>
      </w:r>
      <w:r w:rsidRPr="00C55B9C">
        <w:rPr>
          <w:rFonts w:eastAsia="SimSun"/>
          <w:kern w:val="2"/>
          <w:lang w:eastAsia="zh-CN"/>
        </w:rPr>
        <w:fldChar w:fldCharType="separate"/>
      </w:r>
      <w:r w:rsidRPr="00C55B9C">
        <w:rPr>
          <w:rFonts w:ascii="Palatino Linotype" w:eastAsia="SimSun" w:hAnsi="Palatino Linotype" w:cs="Times New Roman"/>
          <w:kern w:val="2"/>
          <w:sz w:val="24"/>
          <w:szCs w:val="24"/>
          <w:lang w:eastAsia="zh-CN"/>
        </w:rPr>
        <w:t>(Wibowo, 2017)</w:t>
      </w:r>
      <w:r w:rsidRPr="00C55B9C">
        <w:rPr>
          <w:rFonts w:eastAsia="SimSun"/>
          <w:kern w:val="2"/>
          <w:lang w:eastAsia="zh-CN"/>
        </w:rPr>
        <w:fldChar w:fldCharType="end"/>
      </w:r>
      <w:r w:rsidRPr="00C55B9C">
        <w:rPr>
          <w:rFonts w:ascii="Palatino Linotype" w:eastAsia="SimSun" w:hAnsi="Palatino Linotype" w:cs="Times New Roman"/>
          <w:kern w:val="2"/>
          <w:sz w:val="24"/>
          <w:szCs w:val="24"/>
          <w:lang w:eastAsia="zh-CN"/>
        </w:rPr>
        <w:t xml:space="preserve"> di Indonesia, yang mereka sering mendapatkan diskriminasi dan intimidasi serta persekusi dalam menjalankan setiap aktivitas keagamaan mereka. Demikian juga fatwa MUI terkait dengan penistaan agama oleh Ahok</w:t>
      </w:r>
      <w:r w:rsidR="00FE5443" w:rsidRPr="00C55B9C">
        <w:rPr>
          <w:rFonts w:ascii="Palatino Linotype" w:eastAsia="SimSun" w:hAnsi="Palatino Linotype" w:cs="Times New Roman"/>
          <w:kern w:val="2"/>
          <w:sz w:val="24"/>
          <w:szCs w:val="24"/>
          <w:lang w:eastAsia="zh-CN"/>
        </w:rPr>
        <w:t xml:space="preserve"> </w:t>
      </w:r>
      <w:r w:rsidRPr="00C55B9C">
        <w:rPr>
          <w:rFonts w:eastAsia="SimSun"/>
          <w:kern w:val="2"/>
          <w:lang w:eastAsia="zh-CN"/>
        </w:rPr>
        <w:fldChar w:fldCharType="begin" w:fldLock="1"/>
      </w:r>
      <w:r w:rsidR="00001A5F" w:rsidRPr="00C55B9C">
        <w:rPr>
          <w:rFonts w:ascii="Palatino Linotype" w:eastAsia="SimSun" w:hAnsi="Palatino Linotype" w:cs="Times New Roman"/>
          <w:kern w:val="2"/>
          <w:sz w:val="24"/>
          <w:szCs w:val="24"/>
          <w:lang w:eastAsia="zh-CN"/>
        </w:rPr>
        <w:instrText>ADDIN CSL_CITATION {"citationItems":[{"id":"ITEM-1","itemData":{"author":[{"dropping-particle":"","family":"Risalah","given":"Dian Fath","non-dropping-particle":"","parse-names":false,"suffix":""},{"dropping-particle":"","family":"Aini","given":"Nur","non-dropping-particle":"","parse-names":false,"suffix":""}],"container-title":"www.republika.co.id","id":"ITEM-1","issued":{"date-parts":[["2017","1","31"]]},"publisher-place":"Jakarta, Indonesia","title":"Ketua MUI Ungkap Proses Penerbitan Fatwa Ahok Menista Agama","type":"article-newspaper"},"uris":["http://www.mendeley.com/documents/?uuid=7a02b2d1-e5e3-4493-98dd-1f9ddf37990e"]}],"mendeley":{"formattedCitation":"(Risalah &amp; Aini, 2017)","plainTextFormattedCitation":"(Risalah &amp; Aini, 2017)","previouslyFormattedCitation":"(Risalah &amp; Aini, 2017)"},"properties":{"noteIndex":0},"schema":"https://github.com/citation-style-language/schema/raw/master/csl-citation.json"}</w:instrText>
      </w:r>
      <w:r w:rsidRPr="00C55B9C">
        <w:rPr>
          <w:rFonts w:eastAsia="SimSun"/>
          <w:kern w:val="2"/>
          <w:lang w:eastAsia="zh-CN"/>
        </w:rPr>
        <w:fldChar w:fldCharType="separate"/>
      </w:r>
      <w:r w:rsidR="00001A5F" w:rsidRPr="00C55B9C">
        <w:rPr>
          <w:rFonts w:ascii="Palatino Linotype" w:eastAsia="SimSun" w:hAnsi="Palatino Linotype" w:cs="Times New Roman"/>
          <w:kern w:val="2"/>
          <w:sz w:val="24"/>
          <w:szCs w:val="24"/>
          <w:lang w:eastAsia="zh-CN"/>
        </w:rPr>
        <w:t>(Risalah &amp; Aini, 2017)</w:t>
      </w:r>
      <w:r w:rsidRPr="00C55B9C">
        <w:rPr>
          <w:rFonts w:eastAsia="SimSun"/>
          <w:kern w:val="2"/>
          <w:lang w:eastAsia="zh-CN"/>
        </w:rPr>
        <w:fldChar w:fldCharType="end"/>
      </w:r>
      <w:r w:rsidR="00FE5443" w:rsidRPr="00C55B9C">
        <w:rPr>
          <w:rFonts w:ascii="Palatino Linotype" w:eastAsia="SimSun" w:hAnsi="Palatino Linotype" w:cs="Times New Roman"/>
          <w:kern w:val="2"/>
          <w:sz w:val="24"/>
          <w:szCs w:val="24"/>
          <w:lang w:eastAsia="zh-CN"/>
        </w:rPr>
        <w:t>,</w:t>
      </w:r>
      <w:r w:rsidRPr="00C55B9C">
        <w:rPr>
          <w:rFonts w:ascii="Palatino Linotype" w:eastAsia="SimSun" w:hAnsi="Palatino Linotype" w:cs="Times New Roman"/>
          <w:kern w:val="2"/>
          <w:sz w:val="24"/>
          <w:szCs w:val="24"/>
          <w:lang w:eastAsia="zh-CN"/>
        </w:rPr>
        <w:t xml:space="preserve"> telah menimbulkan gelombang protes di berbagai belahan kota di Indonesia, dan berimplikasi pada keterbelahan umat yang luar biasa. Sehingga fatwa yang seharusnya menjadi solusi, seringkali justru menjadi problem bagi umat itu sendiri</w:t>
      </w:r>
      <w:r w:rsidR="00FE5443" w:rsidRPr="00C55B9C">
        <w:rPr>
          <w:rFonts w:ascii="Palatino Linotype" w:eastAsia="SimSun" w:hAnsi="Palatino Linotype" w:cs="Times New Roman"/>
          <w:kern w:val="2"/>
          <w:sz w:val="24"/>
          <w:szCs w:val="24"/>
          <w:lang w:eastAsia="zh-CN"/>
        </w:rPr>
        <w:t xml:space="preserve"> </w:t>
      </w:r>
      <w:r w:rsidR="00FE5443" w:rsidRPr="00C55B9C">
        <w:rPr>
          <w:rFonts w:ascii="Palatino Linotype" w:eastAsia="SimSun" w:hAnsi="Palatino Linotype" w:cs="Times New Roman"/>
          <w:kern w:val="2"/>
          <w:sz w:val="24"/>
          <w:szCs w:val="24"/>
          <w:lang w:eastAsia="zh-CN"/>
        </w:rPr>
        <w:fldChar w:fldCharType="begin" w:fldLock="1"/>
      </w:r>
      <w:r w:rsidR="00B829C5" w:rsidRPr="00C55B9C">
        <w:rPr>
          <w:rFonts w:ascii="Palatino Linotype" w:eastAsia="SimSun" w:hAnsi="Palatino Linotype" w:cs="Times New Roman"/>
          <w:kern w:val="2"/>
          <w:sz w:val="24"/>
          <w:szCs w:val="24"/>
          <w:lang w:eastAsia="zh-CN"/>
        </w:rPr>
        <w:instrText>ADDIN CSL_CITATION {"citationItems":[{"id":"ITEM-1","itemData":{"ISBN":"978-1-78074-468-1","author":[{"dropping-particle":"","family":"El-Fadl","given":"Khaled M. Abou","non-dropping-particle":"","parse-names":false,"suffix":""}],"id":"ITEM-1","issued":{"date-parts":[["2014"]]},"publisher":"Oneworld Publications","publisher-place":"London, England","title":"Speaking in God’s Name: Islamic Law, Authority, and Women","type":"book"},"uris":["http://www.mendeley.com/documents/?uuid=c0c7f2ff-6d36-4fab-881b-ea76b0dda430"]}],"mendeley":{"formattedCitation":"(El-Fadl, 2014)","plainTextFormattedCitation":"(El-Fadl, 2014)","previouslyFormattedCitation":"(El-Fadl, 2014)"},"properties":{"noteIndex":0},"schema":"https://github.com/citation-style-language/schema/raw/master/csl-citation.json"}</w:instrText>
      </w:r>
      <w:r w:rsidR="00FE5443" w:rsidRPr="00C55B9C">
        <w:rPr>
          <w:rFonts w:ascii="Palatino Linotype" w:eastAsia="SimSun" w:hAnsi="Palatino Linotype" w:cs="Times New Roman"/>
          <w:kern w:val="2"/>
          <w:sz w:val="24"/>
          <w:szCs w:val="24"/>
          <w:lang w:eastAsia="zh-CN"/>
        </w:rPr>
        <w:fldChar w:fldCharType="separate"/>
      </w:r>
      <w:r w:rsidR="00B829C5" w:rsidRPr="00C55B9C">
        <w:rPr>
          <w:rFonts w:ascii="Palatino Linotype" w:eastAsia="SimSun" w:hAnsi="Palatino Linotype" w:cs="Times New Roman"/>
          <w:kern w:val="2"/>
          <w:sz w:val="24"/>
          <w:szCs w:val="24"/>
          <w:lang w:eastAsia="zh-CN"/>
        </w:rPr>
        <w:t>(El-Fadl, 2014)</w:t>
      </w:r>
      <w:r w:rsidR="00FE5443" w:rsidRPr="00C55B9C">
        <w:rPr>
          <w:rFonts w:ascii="Palatino Linotype" w:eastAsia="SimSun" w:hAnsi="Palatino Linotype" w:cs="Times New Roman"/>
          <w:kern w:val="2"/>
          <w:sz w:val="24"/>
          <w:szCs w:val="24"/>
          <w:lang w:eastAsia="zh-CN"/>
        </w:rPr>
        <w:fldChar w:fldCharType="end"/>
      </w:r>
      <w:r w:rsidRPr="00C55B9C">
        <w:rPr>
          <w:rFonts w:ascii="Palatino Linotype" w:eastAsia="SimSun" w:hAnsi="Palatino Linotype" w:cs="Times New Roman"/>
          <w:kern w:val="2"/>
          <w:sz w:val="24"/>
          <w:szCs w:val="24"/>
          <w:lang w:eastAsia="zh-CN"/>
        </w:rPr>
        <w:t xml:space="preserve">. Dengan realitas yang demikian itu, maka rumusan-rumusan fatwa perlu diolah secara matang dengan berbagai pendekatan sehingga kemudian menghasilkan fatwa yang komprehensif, otoritatif dan solutif.  </w:t>
      </w:r>
    </w:p>
    <w:p w:rsidR="00D757DA" w:rsidRPr="00C55B9C" w:rsidRDefault="00D757DA" w:rsidP="00C55B9C">
      <w:pPr>
        <w:widowControl w:val="0"/>
        <w:spacing w:after="120" w:line="240" w:lineRule="auto"/>
        <w:ind w:firstLine="567"/>
        <w:jc w:val="both"/>
        <w:rPr>
          <w:rFonts w:ascii="Palatino Linotype" w:eastAsia="SimSun" w:hAnsi="Palatino Linotype" w:cs="Times New Roman"/>
          <w:kern w:val="2"/>
          <w:sz w:val="24"/>
          <w:szCs w:val="24"/>
          <w:lang w:eastAsia="zh-CN"/>
        </w:rPr>
      </w:pPr>
      <w:r w:rsidRPr="00C55B9C">
        <w:rPr>
          <w:rFonts w:ascii="Palatino Linotype" w:eastAsia="SimSun" w:hAnsi="Palatino Linotype" w:cs="Times New Roman"/>
          <w:kern w:val="2"/>
          <w:sz w:val="24"/>
          <w:szCs w:val="24"/>
          <w:lang w:eastAsia="zh-CN"/>
        </w:rPr>
        <w:t xml:space="preserve">Para pemikir kontemporer, telah menawarkan berbagai pendekatan dan juga metodologi dalam kajian keislaman yang dapat digunakan dalam merumuskan fatwa keagamaan yang solutif terhadap problematika umat serta memiliki otoritas yang kuat dalam pembacaan dalil dan realitas. Dalam tulisan ini, penulis mengedepankan pemikiran tiga tokoh intelektuakl Islam yang berhasil merumuskan dan menawarkan pendekatan dan metodologi yang dapat digunakan dalam kerja fatwa kontemporer yang lebih otoritatif, yaitu Khalid Abou al-Fadl, M. Amin Abdullah, dan Jasser Auda. Bagaimana tawaran metodologis ketiga orang tokoh ini dalam kerja perumusan dan pembuatan fatwa kontemporer ini?   </w:t>
      </w:r>
    </w:p>
    <w:p w:rsidR="00D757DA" w:rsidRPr="00C55B9C" w:rsidRDefault="00D757DA" w:rsidP="00021A38">
      <w:pPr>
        <w:spacing w:after="0" w:line="276" w:lineRule="auto"/>
        <w:ind w:firstLine="360"/>
        <w:jc w:val="both"/>
        <w:rPr>
          <w:rFonts w:ascii="Palatino Linotype" w:hAnsi="Palatino Linotype" w:cs="Times New Roman"/>
          <w:bCs/>
          <w:color w:val="000000" w:themeColor="text1"/>
          <w:sz w:val="24"/>
          <w:szCs w:val="24"/>
        </w:rPr>
      </w:pPr>
      <w:r w:rsidRPr="00C55B9C">
        <w:rPr>
          <w:rFonts w:ascii="Palatino Linotype" w:hAnsi="Palatino Linotype" w:cs="Times New Roman"/>
          <w:bCs/>
          <w:color w:val="000000" w:themeColor="text1"/>
          <w:sz w:val="24"/>
          <w:szCs w:val="24"/>
        </w:rPr>
        <w:t xml:space="preserve">  </w:t>
      </w:r>
    </w:p>
    <w:p w:rsidR="00D757DA" w:rsidRPr="00C55B9C" w:rsidRDefault="00D757DA" w:rsidP="00CD15AB">
      <w:pPr>
        <w:pStyle w:val="Heading2"/>
        <w:numPr>
          <w:ilvl w:val="0"/>
          <w:numId w:val="2"/>
        </w:numPr>
        <w:jc w:val="both"/>
        <w:rPr>
          <w:rFonts w:ascii="Palatino Linotype" w:hAnsi="Palatino Linotype" w:cs="Times New Roman"/>
          <w:b/>
          <w:bCs/>
          <w:color w:val="000000" w:themeColor="text1"/>
          <w:sz w:val="24"/>
          <w:szCs w:val="24"/>
        </w:rPr>
      </w:pPr>
      <w:r w:rsidRPr="00C55B9C">
        <w:rPr>
          <w:rFonts w:ascii="Palatino Linotype" w:hAnsi="Palatino Linotype" w:cs="Times New Roman"/>
          <w:b/>
          <w:bCs/>
          <w:color w:val="000000" w:themeColor="text1"/>
          <w:sz w:val="24"/>
          <w:szCs w:val="24"/>
        </w:rPr>
        <w:t>METODE PENELITIAN</w:t>
      </w:r>
    </w:p>
    <w:p w:rsidR="00D757DA" w:rsidRPr="00C55B9C" w:rsidRDefault="00D757DA" w:rsidP="00BA7706">
      <w:pPr>
        <w:widowControl w:val="0"/>
        <w:spacing w:after="120" w:line="240" w:lineRule="auto"/>
        <w:ind w:firstLine="567"/>
        <w:jc w:val="both"/>
        <w:rPr>
          <w:rFonts w:ascii="Palatino Linotype" w:hAnsi="Palatino Linotype" w:cs="Times New Roman"/>
          <w:sz w:val="24"/>
          <w:szCs w:val="24"/>
        </w:rPr>
      </w:pPr>
      <w:r w:rsidRPr="00C55B9C">
        <w:rPr>
          <w:rFonts w:ascii="Palatino Linotype" w:hAnsi="Palatino Linotype" w:cs="Times New Roman"/>
          <w:sz w:val="24"/>
          <w:szCs w:val="24"/>
        </w:rPr>
        <w:t>Penelitian ini merupakan literature review terhadap pemikiran dan gagasan tiga orang pemikiran kontemporer yang cukup berpengaruh di dunia Islam, yaitu M. Amin Abdullah, Khalid Abou al-Fadl, dan Jasser Auda. Untuk mengetahui gagasan ketiga tokoh ini, penelitian mencoba untuk melihat berbagai karya yang telah dihasilkan dari ketiga tokoh tersebut.  Untuk menganalisis pemikiran ketiga tokoh ini, penelitian ini menggunakan metode analisis wacana (discourse analisis)</w:t>
      </w:r>
      <w:r w:rsidR="00BA7706">
        <w:rPr>
          <w:rFonts w:ascii="Palatino Linotype" w:hAnsi="Palatino Linotype" w:cs="Times New Roman"/>
          <w:sz w:val="24"/>
          <w:szCs w:val="24"/>
        </w:rPr>
        <w:t xml:space="preserve"> </w:t>
      </w:r>
      <w:r w:rsidRPr="00C55B9C">
        <w:rPr>
          <w:rStyle w:val="FootnoteReference"/>
          <w:rFonts w:ascii="Palatino Linotype" w:hAnsi="Palatino Linotype" w:cs="Times New Roman"/>
          <w:sz w:val="24"/>
          <w:szCs w:val="24"/>
        </w:rPr>
        <w:fldChar w:fldCharType="begin" w:fldLock="1"/>
      </w:r>
      <w:r w:rsidRPr="00C55B9C">
        <w:rPr>
          <w:rFonts w:ascii="Palatino Linotype" w:hAnsi="Palatino Linotype" w:cs="Times New Roman"/>
          <w:sz w:val="24"/>
          <w:szCs w:val="24"/>
        </w:rPr>
        <w:instrText>ADDIN CSL_CITATION {"citationItems":[{"id":"ITEM-1","itemData":{"DOI":"https://doi.org/10.29313/mediator.v8i2.1252","author":[{"dropping-particle":"","family":"Hamad","given":"Ibnu","non-dropping-particle":"","parse-names":false,"suffix":""}],"container-title":"Mediator","id":"ITEM-1","issue":"2","issued":{"date-parts":[["2007"]]},"page":"325-344","title":"Lebih Dekat dengan Analisis Wacana","type":"article-journal","volume":"8"},"uris":["http://www.mendeley.com/documents/?uuid=6592cd3f-0721-4b83-919c-7abb91d79d07"]}],"mendeley":{"formattedCitation":"(Hamad, 2007)","plainTextFormattedCitation":"(Hamad, 2007)","previouslyFormattedCitation":"(Hamad, 2007)"},"properties":{"noteIndex":0},"schema":"https://github.com/citation-style-language/schema/raw/master/csl-citation.json"}</w:instrText>
      </w:r>
      <w:r w:rsidRPr="00C55B9C">
        <w:rPr>
          <w:rStyle w:val="FootnoteReference"/>
          <w:rFonts w:ascii="Palatino Linotype" w:hAnsi="Palatino Linotype" w:cs="Times New Roman"/>
          <w:sz w:val="24"/>
          <w:szCs w:val="24"/>
        </w:rPr>
        <w:fldChar w:fldCharType="separate"/>
      </w:r>
      <w:r w:rsidRPr="00C55B9C">
        <w:rPr>
          <w:rFonts w:ascii="Palatino Linotype" w:hAnsi="Palatino Linotype" w:cs="Times New Roman"/>
          <w:noProof/>
          <w:sz w:val="24"/>
          <w:szCs w:val="24"/>
        </w:rPr>
        <w:t>(Hamad, 2007)</w:t>
      </w:r>
      <w:r w:rsidRPr="00C55B9C">
        <w:rPr>
          <w:rStyle w:val="FootnoteReference"/>
          <w:rFonts w:ascii="Palatino Linotype" w:hAnsi="Palatino Linotype" w:cs="Times New Roman"/>
          <w:sz w:val="24"/>
          <w:szCs w:val="24"/>
        </w:rPr>
        <w:fldChar w:fldCharType="end"/>
      </w:r>
      <w:r w:rsidR="00BA7706">
        <w:rPr>
          <w:rFonts w:ascii="Palatino Linotype" w:hAnsi="Palatino Linotype" w:cs="Times New Roman"/>
          <w:sz w:val="24"/>
          <w:szCs w:val="24"/>
        </w:rPr>
        <w:t xml:space="preserve">. </w:t>
      </w:r>
      <w:r w:rsidRPr="00C55B9C">
        <w:rPr>
          <w:rFonts w:ascii="Palatino Linotype" w:hAnsi="Palatino Linotype" w:cs="Times New Roman"/>
          <w:sz w:val="24"/>
          <w:szCs w:val="24"/>
        </w:rPr>
        <w:t xml:space="preserve"> </w:t>
      </w:r>
    </w:p>
    <w:p w:rsidR="00D757DA" w:rsidRPr="00C55B9C" w:rsidRDefault="00D757DA" w:rsidP="00AA295F">
      <w:pPr>
        <w:spacing w:after="0" w:line="276" w:lineRule="auto"/>
        <w:ind w:firstLine="360"/>
        <w:jc w:val="both"/>
        <w:rPr>
          <w:rFonts w:ascii="Palatino Linotype" w:hAnsi="Palatino Linotype" w:cs="Times New Roman"/>
          <w:sz w:val="24"/>
          <w:szCs w:val="24"/>
        </w:rPr>
      </w:pPr>
    </w:p>
    <w:p w:rsidR="00D757DA" w:rsidRPr="00C55B9C" w:rsidRDefault="00D757DA" w:rsidP="00CD15AB">
      <w:pPr>
        <w:pStyle w:val="Heading2"/>
        <w:numPr>
          <w:ilvl w:val="0"/>
          <w:numId w:val="2"/>
        </w:numPr>
        <w:jc w:val="both"/>
        <w:rPr>
          <w:rFonts w:ascii="Palatino Linotype" w:hAnsi="Palatino Linotype" w:cs="Times New Roman"/>
          <w:b/>
          <w:bCs/>
          <w:color w:val="000000" w:themeColor="text1"/>
          <w:sz w:val="24"/>
          <w:szCs w:val="24"/>
        </w:rPr>
      </w:pPr>
      <w:r w:rsidRPr="00C55B9C">
        <w:rPr>
          <w:rFonts w:ascii="Palatino Linotype" w:hAnsi="Palatino Linotype" w:cs="Times New Roman"/>
          <w:b/>
          <w:bCs/>
          <w:color w:val="000000" w:themeColor="text1"/>
          <w:sz w:val="24"/>
          <w:szCs w:val="24"/>
        </w:rPr>
        <w:t>TEMUAN DAN DISKUSI</w:t>
      </w:r>
    </w:p>
    <w:p w:rsidR="00D757DA" w:rsidRPr="00C55B9C" w:rsidRDefault="00D757DA" w:rsidP="00A42CB3">
      <w:pPr>
        <w:pStyle w:val="Heading3"/>
        <w:numPr>
          <w:ilvl w:val="0"/>
          <w:numId w:val="10"/>
        </w:numPr>
        <w:rPr>
          <w:rFonts w:ascii="Palatino Linotype" w:hAnsi="Palatino Linotype"/>
          <w:b/>
          <w:bCs/>
          <w:color w:val="000000" w:themeColor="text1"/>
        </w:rPr>
      </w:pPr>
      <w:r w:rsidRPr="00C55B9C">
        <w:rPr>
          <w:rFonts w:ascii="Palatino Linotype" w:hAnsi="Palatino Linotype"/>
          <w:b/>
          <w:bCs/>
          <w:color w:val="000000" w:themeColor="text1"/>
        </w:rPr>
        <w:t>Kritik terhadap Fatwa</w:t>
      </w:r>
    </w:p>
    <w:p w:rsidR="00D757DA" w:rsidRPr="00C55B9C" w:rsidRDefault="00D757DA" w:rsidP="00BA7706">
      <w:pPr>
        <w:widowControl w:val="0"/>
        <w:spacing w:after="120" w:line="240" w:lineRule="auto"/>
        <w:ind w:firstLine="567"/>
        <w:jc w:val="both"/>
        <w:rPr>
          <w:rFonts w:ascii="Palatino Linotype" w:hAnsi="Palatino Linotype" w:cs="Times New Roman"/>
          <w:sz w:val="24"/>
          <w:szCs w:val="24"/>
        </w:rPr>
      </w:pPr>
      <w:r w:rsidRPr="00C55B9C">
        <w:rPr>
          <w:rFonts w:ascii="Palatino Linotype" w:hAnsi="Palatino Linotype" w:cs="Times New Roman"/>
          <w:sz w:val="24"/>
          <w:szCs w:val="24"/>
        </w:rPr>
        <w:t xml:space="preserve">Fatwa secara etimologis mengandung makna penjelasan </w:t>
      </w:r>
      <w:r w:rsidR="00FE5443" w:rsidRPr="00C55B9C">
        <w:rPr>
          <w:rFonts w:ascii="Palatino Linotype" w:hAnsi="Palatino Linotype" w:cs="Times New Roman"/>
          <w:sz w:val="24"/>
          <w:szCs w:val="24"/>
        </w:rPr>
        <w:t xml:space="preserve">hokum </w:t>
      </w:r>
      <w:r w:rsidR="00FE5443" w:rsidRPr="00C55B9C">
        <w:rPr>
          <w:rFonts w:ascii="Palatino Linotype" w:hAnsi="Palatino Linotype" w:cs="Times New Roman"/>
          <w:sz w:val="24"/>
          <w:szCs w:val="24"/>
        </w:rPr>
        <w:fldChar w:fldCharType="begin" w:fldLock="1"/>
      </w:r>
      <w:r w:rsidR="00FE5443" w:rsidRPr="00C55B9C">
        <w:rPr>
          <w:rFonts w:ascii="Palatino Linotype" w:hAnsi="Palatino Linotype" w:cs="Times New Roman"/>
          <w:sz w:val="24"/>
          <w:szCs w:val="24"/>
        </w:rPr>
        <w:instrText>ADDIN CSL_CITATION {"citationItems":[{"id":"ITEM-1","itemData":{"ISBN":":978-602-5789-49-6","author":[{"dropping-particle":"","family":"Miswanto","given":"Agus","non-dropping-particle":"","parse-names":false,"suffix":""}],"edition":"1","id":"ITEM-1","issued":{"date-parts":[["2019"]]},"publisher":"Magnum Pustaka Utama","publisher-place":"Yogyakarta","title":"Ushul Fiqh: Metode Ijtihad Hukum Islam","type":"book"},"uris":["http://www.mendeley.com/documents/?uuid=21c2d123-8441-4bc0-a795-ce659df14575"]}],"mendeley":{"formattedCitation":"(Miswanto, 2019)","plainTextFormattedCitation":"(Miswanto, 2019)","previouslyFormattedCitation":"(Miswanto, 2019)"},"properties":{"noteIndex":0},"schema":"https://github.com/citation-style-language/schema/raw/master/csl-citation.json"}</w:instrText>
      </w:r>
      <w:r w:rsidR="00FE5443" w:rsidRPr="00C55B9C">
        <w:rPr>
          <w:rFonts w:ascii="Palatino Linotype" w:hAnsi="Palatino Linotype" w:cs="Times New Roman"/>
          <w:sz w:val="24"/>
          <w:szCs w:val="24"/>
        </w:rPr>
        <w:fldChar w:fldCharType="separate"/>
      </w:r>
      <w:r w:rsidR="00FE5443" w:rsidRPr="00C55B9C">
        <w:rPr>
          <w:rFonts w:ascii="Palatino Linotype" w:hAnsi="Palatino Linotype" w:cs="Times New Roman"/>
          <w:sz w:val="24"/>
          <w:szCs w:val="24"/>
        </w:rPr>
        <w:t>(Miswanto, 2019)</w:t>
      </w:r>
      <w:r w:rsidR="00FE5443" w:rsidRPr="00C55B9C">
        <w:rPr>
          <w:rFonts w:ascii="Palatino Linotype" w:hAnsi="Palatino Linotype" w:cs="Times New Roman"/>
          <w:sz w:val="24"/>
          <w:szCs w:val="24"/>
        </w:rPr>
        <w:fldChar w:fldCharType="end"/>
      </w:r>
      <w:r w:rsidRPr="00C55B9C">
        <w:rPr>
          <w:rFonts w:ascii="Palatino Linotype" w:hAnsi="Palatino Linotype" w:cs="Times New Roman"/>
          <w:sz w:val="24"/>
          <w:szCs w:val="24"/>
        </w:rPr>
        <w:t>, atau jawaban mengenai suatu kejadian atau peristiwa.</w:t>
      </w:r>
      <w:r w:rsidRPr="00C55B9C">
        <w:fldChar w:fldCharType="begin" w:fldLock="1"/>
      </w:r>
      <w:r w:rsidRPr="00C55B9C">
        <w:rPr>
          <w:rFonts w:ascii="Palatino Linotype" w:hAnsi="Palatino Linotype" w:cs="Times New Roman"/>
          <w:sz w:val="24"/>
          <w:szCs w:val="24"/>
        </w:rPr>
        <w:instrText>ADDIN CSL_CITATION {"citationItems":[{"id":"ITEM-1","itemData":{"author":[{"dropping-particle":"","family":"Qardhawi","given":"Yusuf","non-dropping-particle":"","parse-names":false,"suffix":""}],"edition":"1","id":"ITEM-1","issued":{"date-parts":[["1988"]]},"publisher":"Dar al-Shahwah lin-nasyr wa al-tauzi'","publisher-place":"Kairo, Mesir","title":"al-Fatwa bain al-Inthibath wa al-Tasayub","type":"book"},"uris":["http://www.mendeley.com/documents/?uuid=19491054-0192-42b8-8559-6c00366c6d4a"]}],"mendeley":{"formattedCitation":"(Qardhawi, 1988)","plainTextFormattedCitation":"(Qardhawi, 1988)","previouslyFormattedCitation":"(Qardhawi, 1988)"},"properties":{"noteIndex":0},"schema":"https://github.com/citation-style-language/schema/raw/master/csl-citation.json"}</w:instrText>
      </w:r>
      <w:r w:rsidRPr="00C55B9C">
        <w:fldChar w:fldCharType="separate"/>
      </w:r>
      <w:r w:rsidRPr="00C55B9C">
        <w:rPr>
          <w:rFonts w:ascii="Palatino Linotype" w:hAnsi="Palatino Linotype" w:cs="Times New Roman"/>
          <w:sz w:val="24"/>
          <w:szCs w:val="24"/>
        </w:rPr>
        <w:t>(Qardhawi, 1988)</w:t>
      </w:r>
      <w:r w:rsidRPr="00C55B9C">
        <w:fldChar w:fldCharType="end"/>
      </w:r>
      <w:r w:rsidRPr="00C55B9C">
        <w:rPr>
          <w:rFonts w:ascii="Palatino Linotype" w:hAnsi="Palatino Linotype" w:cs="Times New Roman"/>
          <w:sz w:val="24"/>
          <w:szCs w:val="24"/>
        </w:rPr>
        <w:t xml:space="preserve"> Dalam Kamus Besar Bahasa Indonesia (KBBI), fatwa dimaknai sebagai keputusan, pendapat yang diberikan oleh mufti tentang suatu masalah, nasihat orang alim; pelajaran baik; petuah</w:t>
      </w:r>
      <w:r w:rsidR="00FE5443" w:rsidRPr="00C55B9C">
        <w:rPr>
          <w:rFonts w:ascii="Palatino Linotype" w:hAnsi="Palatino Linotype" w:cs="Times New Roman"/>
          <w:sz w:val="24"/>
          <w:szCs w:val="24"/>
        </w:rPr>
        <w:t xml:space="preserve"> </w:t>
      </w:r>
      <w:r w:rsidRPr="00C55B9C">
        <w:fldChar w:fldCharType="begin" w:fldLock="1"/>
      </w:r>
      <w:r w:rsidRPr="00C55B9C">
        <w:rPr>
          <w:rFonts w:ascii="Palatino Linotype" w:hAnsi="Palatino Linotype" w:cs="Times New Roman"/>
          <w:sz w:val="24"/>
          <w:szCs w:val="24"/>
        </w:rPr>
        <w:instrText>ADDIN CSL_CITATION {"citationItems":[{"id":"ITEM-1","itemData":{"URL":"https://kbbi.kemdikbud.go.id/entri/Fatwa","accessed":{"date-parts":[["2021","9","4"]]},"author":[{"dropping-particle":"","family":"Badan Pembinaan dan Pengembangan Bahasa Indonesia","given":"","non-dropping-particle":"","parse-names":false,"suffix":""}],"container-title":"Kamus Besar Bahasa Indonesia","id":"ITEM-1","issued":{"date-parts":[["2016"]]},"title":"Fatwa","type":"webpage"},"uris":["http://www.mendeley.com/documents/?uuid=639380a6-b9c9-45a8-bf88-0cb624b1dd3d"]}],"mendeley":{"formattedCitation":"(Badan Pembinaan dan Pengembangan Bahasa Indonesia, 2016)","plainTextFormattedCitation":"(Badan Pembinaan dan Pengembangan Bahasa Indonesia, 2016)","previouslyFormattedCitation":"(Badan Pembinaan dan Pengembangan Bahasa Indonesia, 2016)"},"properties":{"noteIndex":0},"schema":"https://github.com/citation-style-language/schema/raw/master/csl-citation.json"}</w:instrText>
      </w:r>
      <w:r w:rsidRPr="00C55B9C">
        <w:fldChar w:fldCharType="separate"/>
      </w:r>
      <w:r w:rsidRPr="00C55B9C">
        <w:rPr>
          <w:rFonts w:ascii="Palatino Linotype" w:hAnsi="Palatino Linotype" w:cs="Times New Roman"/>
          <w:sz w:val="24"/>
          <w:szCs w:val="24"/>
        </w:rPr>
        <w:t>(Badan Pembinaan dan Pengembangan Bahasa Indonesia, 2016)</w:t>
      </w:r>
      <w:r w:rsidRPr="00C55B9C">
        <w:fldChar w:fldCharType="end"/>
      </w:r>
      <w:r w:rsidR="00BA7706">
        <w:t>.</w:t>
      </w:r>
      <w:r w:rsidRPr="00C55B9C">
        <w:rPr>
          <w:rFonts w:ascii="Palatino Linotype" w:hAnsi="Palatino Linotype" w:cs="Times New Roman"/>
          <w:sz w:val="24"/>
          <w:szCs w:val="24"/>
        </w:rPr>
        <w:t xml:space="preserve"> Sementara secara Istilah, Yusuf Qardhawi memberikan definisi fatwa sebagai penjelasan hokum syara’ tentang suatu peristiwa sebagai jawaban terhadap pertanyaan seorang </w:t>
      </w:r>
      <w:r w:rsidRPr="00C55B9C">
        <w:rPr>
          <w:rFonts w:ascii="Palatino Linotype" w:hAnsi="Palatino Linotype" w:cs="Times New Roman"/>
          <w:sz w:val="24"/>
          <w:szCs w:val="24"/>
        </w:rPr>
        <w:lastRenderedPageBreak/>
        <w:t xml:space="preserve">penanya, baik itu orang </w:t>
      </w:r>
      <w:r w:rsidR="00BA7706">
        <w:rPr>
          <w:rFonts w:ascii="Palatino Linotype" w:hAnsi="Palatino Linotype" w:cs="Times New Roman"/>
          <w:sz w:val="24"/>
          <w:szCs w:val="24"/>
        </w:rPr>
        <w:t xml:space="preserve">yang </w:t>
      </w:r>
      <w:r w:rsidRPr="00C55B9C">
        <w:rPr>
          <w:rFonts w:ascii="Palatino Linotype" w:hAnsi="Palatino Linotype" w:cs="Times New Roman"/>
          <w:sz w:val="24"/>
          <w:szCs w:val="24"/>
        </w:rPr>
        <w:t>jelas</w:t>
      </w:r>
      <w:r w:rsidR="00BA7706">
        <w:rPr>
          <w:rFonts w:ascii="Palatino Linotype" w:hAnsi="Palatino Linotype" w:cs="Times New Roman"/>
          <w:sz w:val="24"/>
          <w:szCs w:val="24"/>
        </w:rPr>
        <w:t xml:space="preserve"> identitasnya</w:t>
      </w:r>
      <w:r w:rsidRPr="00C55B9C">
        <w:rPr>
          <w:rFonts w:ascii="Palatino Linotype" w:hAnsi="Palatino Linotype" w:cs="Times New Roman"/>
          <w:sz w:val="24"/>
          <w:szCs w:val="24"/>
        </w:rPr>
        <w:t xml:space="preserve"> atau samar, individual atau kolektif</w:t>
      </w:r>
      <w:r w:rsidR="00FE5443" w:rsidRPr="00C55B9C">
        <w:rPr>
          <w:rFonts w:ascii="Palatino Linotype" w:hAnsi="Palatino Linotype" w:cs="Times New Roman"/>
          <w:sz w:val="24"/>
          <w:szCs w:val="24"/>
        </w:rPr>
        <w:t xml:space="preserve"> </w:t>
      </w:r>
      <w:r w:rsidR="00FE5443" w:rsidRPr="00C55B9C">
        <w:rPr>
          <w:rFonts w:ascii="Palatino Linotype" w:hAnsi="Palatino Linotype" w:cs="Times New Roman"/>
          <w:sz w:val="24"/>
          <w:szCs w:val="24"/>
        </w:rPr>
        <w:fldChar w:fldCharType="begin" w:fldLock="1"/>
      </w:r>
      <w:r w:rsidR="00FE5443" w:rsidRPr="00C55B9C">
        <w:rPr>
          <w:rFonts w:ascii="Palatino Linotype" w:hAnsi="Palatino Linotype" w:cs="Times New Roman"/>
          <w:sz w:val="24"/>
          <w:szCs w:val="24"/>
        </w:rPr>
        <w:instrText>ADDIN CSL_CITATION {"citationItems":[{"id":"ITEM-1","itemData":{"author":[{"dropping-particle":"","family":"Qardhawi","given":"Yusuf","non-dropping-particle":"","parse-names":false,"suffix":""}],"edition":"1","id":"ITEM-1","issued":{"date-parts":[["1988"]]},"publisher":"Dar al-Shahwah lin-nasyr wa al-tauzi'","publisher-place":"Kairo, Mesir","title":"al-Fatwa bain al-Inthibath wa al-Tasayub","type":"book"},"uris":["http://www.mendeley.com/documents/?uuid=19491054-0192-42b8-8559-6c00366c6d4a"]}],"mendeley":{"formattedCitation":"(Qardhawi, 1988)","plainTextFormattedCitation":"(Qardhawi, 1988)","previouslyFormattedCitation":"(Qardhawi, 1988)"},"properties":{"noteIndex":0},"schema":"https://github.com/citation-style-language/schema/raw/master/csl-citation.json"}</w:instrText>
      </w:r>
      <w:r w:rsidR="00FE5443" w:rsidRPr="00C55B9C">
        <w:rPr>
          <w:rFonts w:ascii="Palatino Linotype" w:hAnsi="Palatino Linotype" w:cs="Times New Roman"/>
          <w:sz w:val="24"/>
          <w:szCs w:val="24"/>
        </w:rPr>
        <w:fldChar w:fldCharType="separate"/>
      </w:r>
      <w:r w:rsidR="00FE5443" w:rsidRPr="00C55B9C">
        <w:rPr>
          <w:rFonts w:ascii="Palatino Linotype" w:hAnsi="Palatino Linotype" w:cs="Times New Roman"/>
          <w:sz w:val="24"/>
          <w:szCs w:val="24"/>
        </w:rPr>
        <w:t>(Qardhawi, 1988)</w:t>
      </w:r>
      <w:r w:rsidR="00FE5443" w:rsidRPr="00C55B9C">
        <w:rPr>
          <w:rFonts w:ascii="Palatino Linotype" w:hAnsi="Palatino Linotype" w:cs="Times New Roman"/>
          <w:sz w:val="24"/>
          <w:szCs w:val="24"/>
        </w:rPr>
        <w:fldChar w:fldCharType="end"/>
      </w:r>
      <w:r w:rsidRPr="00C55B9C">
        <w:rPr>
          <w:rFonts w:ascii="Palatino Linotype" w:hAnsi="Palatino Linotype" w:cs="Times New Roman"/>
          <w:sz w:val="24"/>
          <w:szCs w:val="24"/>
        </w:rPr>
        <w:t>. Dalam ilmu U</w:t>
      </w:r>
      <w:r w:rsidRPr="00C55B9C">
        <w:rPr>
          <w:rFonts w:ascii="Cambria" w:hAnsi="Cambria" w:cs="Cambria"/>
          <w:sz w:val="24"/>
          <w:szCs w:val="24"/>
        </w:rPr>
        <w:t>ṣ</w:t>
      </w:r>
      <w:r w:rsidRPr="00C55B9C">
        <w:rPr>
          <w:rFonts w:ascii="Palatino Linotype" w:hAnsi="Palatino Linotype" w:cs="Times New Roman"/>
          <w:sz w:val="24"/>
          <w:szCs w:val="24"/>
        </w:rPr>
        <w:t>ul Fiqh, fatwa berarti pendapat yang dikemukakan seorang mujtahid atau fāqih sebagai jawaban yang diajukan peminta fatwa dalam suatu kasus yang sifatnya tidak mengikat</w:t>
      </w:r>
      <w:r w:rsidR="00BA7706">
        <w:rPr>
          <w:rFonts w:ascii="Palatino Linotype" w:hAnsi="Palatino Linotype" w:cs="Times New Roman"/>
          <w:sz w:val="24"/>
          <w:szCs w:val="24"/>
        </w:rPr>
        <w:t xml:space="preserve"> </w:t>
      </w:r>
      <w:r w:rsidRPr="00C55B9C">
        <w:fldChar w:fldCharType="begin" w:fldLock="1"/>
      </w:r>
      <w:r w:rsidRPr="00C55B9C">
        <w:rPr>
          <w:rFonts w:ascii="Palatino Linotype" w:hAnsi="Palatino Linotype" w:cs="Times New Roman"/>
          <w:sz w:val="24"/>
          <w:szCs w:val="24"/>
        </w:rPr>
        <w:instrText>ADDIN CSL_CITATION {"citationItems":[{"id":"ITEM-1","itemData":{"abstract":"Artikel ini membahas mengenai perubahan karakteristik fatwa dari fatwa klasik ke fatwa kontemporer, khususnya fatwa ekonomi syariah di Indonesia jika dibandingkan dengan fatwa-fatwa ulama terdahulu. Dari hasil penelitian ini, penulis menyimpulkan bahwa perubahan karakteristikfatwa DSN-MUI terletak pada; a) fatwa yang memiliki kekuatan hukum mengikat berdasarkan UndangUndang; b) fatwa ditujukan khusus bagi lembaga keuangan dan kewenangan khusus di bidang ekonomi syariah; c) fatwa tidak lagi merupakan jawaban atas suatu pertanyaan akan tetapi respon aktif dari DSN-MUI","author":[{"dropping-particle":"","family":"Wahid","given":"Soleh Hasan","non-dropping-particle":"","parse-names":false,"suffix":""}],"container-title":"Yudisia","id":"ITEM-1","issue":"2","issued":{"date-parts":[["2019"]]},"page":"193-209","title":"Dinamika Fatwa dari Klasik ke Kontemporer (Tinjauan Karakteristik Fatwa Ekonomi Syariah Dewan Syariah Nasional Indonesia (DSN-MUI)","type":"article-journal","volume":"10"},"uris":["http://www.mendeley.com/documents/?uuid=05d55d8a-5420-4150-9d53-475b843433ea"]}],"mendeley":{"formattedCitation":"(Wahid, 2019)","plainTextFormattedCitation":"(Wahid, 2019)","previouslyFormattedCitation":"(Wahid, 2019)"},"properties":{"noteIndex":0},"schema":"https://github.com/citation-style-language/schema/raw/master/csl-citation.json"}</w:instrText>
      </w:r>
      <w:r w:rsidRPr="00C55B9C">
        <w:fldChar w:fldCharType="separate"/>
      </w:r>
      <w:r w:rsidRPr="00C55B9C">
        <w:rPr>
          <w:rFonts w:ascii="Palatino Linotype" w:hAnsi="Palatino Linotype" w:cs="Times New Roman"/>
          <w:sz w:val="24"/>
          <w:szCs w:val="24"/>
        </w:rPr>
        <w:t>(Wahid, 2019)</w:t>
      </w:r>
      <w:r w:rsidRPr="00C55B9C">
        <w:fldChar w:fldCharType="end"/>
      </w:r>
      <w:r w:rsidR="00BA7706">
        <w:t>.</w:t>
      </w:r>
      <w:r w:rsidRPr="00C55B9C">
        <w:rPr>
          <w:rFonts w:ascii="Palatino Linotype" w:hAnsi="Palatino Linotype" w:cs="Times New Roman"/>
          <w:sz w:val="24"/>
          <w:szCs w:val="24"/>
        </w:rPr>
        <w:t xml:space="preserve"> </w:t>
      </w:r>
    </w:p>
    <w:p w:rsidR="00D757DA" w:rsidRPr="00C55B9C" w:rsidRDefault="00D757DA" w:rsidP="00C55B9C">
      <w:pPr>
        <w:widowControl w:val="0"/>
        <w:spacing w:after="120" w:line="240" w:lineRule="auto"/>
        <w:ind w:firstLine="567"/>
        <w:jc w:val="both"/>
        <w:rPr>
          <w:rFonts w:ascii="Palatino Linotype" w:hAnsi="Palatino Linotype" w:cs="Times New Roman"/>
          <w:sz w:val="24"/>
          <w:szCs w:val="24"/>
        </w:rPr>
      </w:pPr>
      <w:r w:rsidRPr="00C55B9C">
        <w:rPr>
          <w:rFonts w:ascii="Palatino Linotype" w:hAnsi="Palatino Linotype" w:cs="Times New Roman"/>
          <w:sz w:val="24"/>
          <w:szCs w:val="24"/>
        </w:rPr>
        <w:t xml:space="preserve">Dari definisi di atas, dapat difahami bahwa keberadaan fatwa adalah dalam rangka untuk menjawab berbagai persoalan yang dihadapi oleh umat Islam. Oleh karena itu, peran fatwa adalah mencarikan jalan yang bersifat solutif bagi problem yang dihadapi oleh umat, bukan justru memperuncing masalah dan melahirkan problem baru bagi umat. Dalam konteks modern, banyak fatwa yang mendapatkan kritik tajam baik dari kalangan umat Islam ataupun non-Islam karena dianggap bermasalah dan menimbulkan problem. Materi-materi fatwa yang sangat krusial menyangkut hubungan social antara sesama umat manusia yaitu muslim-non Muslim. Fatwa-fatwa ini mislanya menyangkut tentang persoalan jihad, terorrisme, takfiri (mengkafirkan sesama Muslim), dan persoalan gender dalam Islam. </w:t>
      </w:r>
    </w:p>
    <w:p w:rsidR="00D757DA" w:rsidRPr="00C55B9C" w:rsidRDefault="00D757DA" w:rsidP="00C55B9C">
      <w:pPr>
        <w:widowControl w:val="0"/>
        <w:spacing w:after="120" w:line="240" w:lineRule="auto"/>
        <w:ind w:firstLine="567"/>
        <w:jc w:val="both"/>
        <w:rPr>
          <w:rFonts w:ascii="Palatino Linotype" w:hAnsi="Palatino Linotype" w:cs="Times New Roman"/>
          <w:sz w:val="24"/>
          <w:szCs w:val="24"/>
        </w:rPr>
      </w:pPr>
      <w:r w:rsidRPr="00C55B9C">
        <w:rPr>
          <w:rFonts w:ascii="Palatino Linotype" w:hAnsi="Palatino Linotype" w:cs="Times New Roman"/>
          <w:sz w:val="24"/>
          <w:szCs w:val="24"/>
        </w:rPr>
        <w:t>Dalam perspektif sarjana Barat, fatwa-fatwa tersebut banyak mendapat kritik tajam karena dianggap bermasalah secara kemanusiaan dan hak asasi manusia. Di antara sarjana-sarjana Barat yang getol melakukan kritik, misalnya Shamuel Bar</w:t>
      </w:r>
      <w:r w:rsidR="00CF26C7" w:rsidRPr="00C55B9C">
        <w:rPr>
          <w:rFonts w:ascii="Palatino Linotype" w:hAnsi="Palatino Linotype" w:cs="Times New Roman"/>
          <w:sz w:val="24"/>
          <w:szCs w:val="24"/>
        </w:rPr>
        <w:t xml:space="preserve"> </w:t>
      </w:r>
      <w:r w:rsidRPr="00C55B9C">
        <w:fldChar w:fldCharType="begin" w:fldLock="1"/>
      </w:r>
      <w:r w:rsidRPr="00C55B9C">
        <w:rPr>
          <w:rFonts w:ascii="Palatino Linotype" w:hAnsi="Palatino Linotype" w:cs="Times New Roman"/>
          <w:sz w:val="24"/>
          <w:szCs w:val="24"/>
        </w:rPr>
        <w:instrText>ADDIN CSL_CITATION {"citationItems":[{"id":"ITEM-1","itemData":{"ISBN":"9780742551213","author":[{"dropping-particle":"","family":"Bar","given":"Shmuel","non-dropping-particle":"","parse-names":false,"suffix":""}],"edition":"1","id":"ITEM-1","issued":{"date-parts":[["2008"]]},"publisher":"Rowman &amp; Littlefield Publishers","publisher-place":"Lanham, Maryland, USA","title":"Warrant for Terror: The Fatwas of Radical Islam and the Duty to Jihad","type":"book"},"uris":["http://www.mendeley.com/documents/?uuid=cec38790-82b0-4075-a7af-27bf2277d902"]}],"mendeley":{"formattedCitation":"(Bar, 2008)","plainTextFormattedCitation":"(Bar, 2008)","previouslyFormattedCitation":"(Bar, 2008)"},"properties":{"noteIndex":0},"schema":"https://github.com/citation-style-language/schema/raw/master/csl-citation.json"}</w:instrText>
      </w:r>
      <w:r w:rsidRPr="00C55B9C">
        <w:fldChar w:fldCharType="separate"/>
      </w:r>
      <w:r w:rsidRPr="00C55B9C">
        <w:rPr>
          <w:rFonts w:ascii="Palatino Linotype" w:hAnsi="Palatino Linotype" w:cs="Times New Roman"/>
          <w:sz w:val="24"/>
          <w:szCs w:val="24"/>
        </w:rPr>
        <w:t>(Bar, 2008)</w:t>
      </w:r>
      <w:r w:rsidRPr="00C55B9C">
        <w:fldChar w:fldCharType="end"/>
      </w:r>
      <w:r w:rsidR="00CF26C7" w:rsidRPr="00C55B9C">
        <w:rPr>
          <w:rFonts w:ascii="Palatino Linotype" w:hAnsi="Palatino Linotype" w:cs="Times New Roman"/>
          <w:sz w:val="24"/>
          <w:szCs w:val="24"/>
        </w:rPr>
        <w:t>,</w:t>
      </w:r>
      <w:r w:rsidRPr="00C55B9C">
        <w:rPr>
          <w:rFonts w:ascii="Palatino Linotype" w:hAnsi="Palatino Linotype" w:cs="Times New Roman"/>
          <w:sz w:val="24"/>
          <w:szCs w:val="24"/>
        </w:rPr>
        <w:t xml:space="preserve"> Pamela Geller</w:t>
      </w:r>
      <w:r w:rsidR="00CF26C7" w:rsidRPr="00C55B9C">
        <w:rPr>
          <w:rFonts w:ascii="Palatino Linotype" w:hAnsi="Palatino Linotype" w:cs="Times New Roman"/>
          <w:sz w:val="24"/>
          <w:szCs w:val="24"/>
        </w:rPr>
        <w:t xml:space="preserve"> </w:t>
      </w:r>
      <w:r w:rsidRPr="00C55B9C">
        <w:fldChar w:fldCharType="begin" w:fldLock="1"/>
      </w:r>
      <w:r w:rsidRPr="00C55B9C">
        <w:rPr>
          <w:rFonts w:ascii="Palatino Linotype" w:hAnsi="Palatino Linotype" w:cs="Times New Roman"/>
          <w:sz w:val="24"/>
          <w:szCs w:val="24"/>
        </w:rPr>
        <w:instrText>ADDIN CSL_CITATION {"citationItems":[{"id":"ITEM-1","itemData":{"ISBN":"9781947979000","author":[{"dropping-particle":"","family":"Geller","given":"Pamela","non-dropping-particle":"","parse-names":false,"suffix":""}],"edition":"1","id":"ITEM-1","issued":{"date-parts":[["2017"]]},"publisher":"Dangerous Books","publisher-place":"Miami, Florida, USA","title":"FATWA: Hunted in America","type":"book"},"uris":["http://www.mendeley.com/documents/?uuid=c17ea5f8-8fe9-402c-b4cd-d385294ea8fa"]}],"mendeley":{"formattedCitation":"(Geller, 2017)","plainTextFormattedCitation":"(Geller, 2017)","previouslyFormattedCitation":"(Geller, 2017)"},"properties":{"noteIndex":0},"schema":"https://github.com/citation-style-language/schema/raw/master/csl-citation.json"}</w:instrText>
      </w:r>
      <w:r w:rsidRPr="00C55B9C">
        <w:fldChar w:fldCharType="separate"/>
      </w:r>
      <w:r w:rsidRPr="00C55B9C">
        <w:rPr>
          <w:rFonts w:ascii="Palatino Linotype" w:hAnsi="Palatino Linotype" w:cs="Times New Roman"/>
          <w:sz w:val="24"/>
          <w:szCs w:val="24"/>
        </w:rPr>
        <w:t>(Geller, 2017)</w:t>
      </w:r>
      <w:r w:rsidRPr="00C55B9C">
        <w:fldChar w:fldCharType="end"/>
      </w:r>
      <w:r w:rsidR="00CF26C7" w:rsidRPr="00C55B9C">
        <w:rPr>
          <w:rFonts w:ascii="Palatino Linotype" w:hAnsi="Palatino Linotype" w:cs="Times New Roman"/>
          <w:sz w:val="24"/>
          <w:szCs w:val="24"/>
        </w:rPr>
        <w:t>,</w:t>
      </w:r>
      <w:r w:rsidRPr="00C55B9C">
        <w:rPr>
          <w:rFonts w:ascii="Palatino Linotype" w:hAnsi="Palatino Linotype" w:cs="Times New Roman"/>
          <w:sz w:val="24"/>
          <w:szCs w:val="24"/>
        </w:rPr>
        <w:t xml:space="preserve"> Jakob Skovgaart-Peterson</w:t>
      </w:r>
      <w:r w:rsidR="00CF26C7" w:rsidRPr="00C55B9C">
        <w:rPr>
          <w:rFonts w:ascii="Palatino Linotype" w:hAnsi="Palatino Linotype" w:cs="Times New Roman"/>
          <w:sz w:val="24"/>
          <w:szCs w:val="24"/>
        </w:rPr>
        <w:t xml:space="preserve"> </w:t>
      </w:r>
      <w:r w:rsidRPr="00C55B9C">
        <w:fldChar w:fldCharType="begin" w:fldLock="1"/>
      </w:r>
      <w:r w:rsidRPr="00C55B9C">
        <w:rPr>
          <w:rFonts w:ascii="Palatino Linotype" w:hAnsi="Palatino Linotype" w:cs="Times New Roman"/>
          <w:sz w:val="24"/>
          <w:szCs w:val="24"/>
        </w:rPr>
        <w:instrText>ADDIN CSL_CITATION {"citationItems":[{"id":"ITEM-1","itemData":{"ISBN":"9789004109476","abstract":"This work traces the history of the Dar al-Ifta, the Egyptian State Mufti's administration, from its inception in the 1890s to the present. Positioned between a state bereaucracy and an emerging Muslim public concerned with the transmission of Islamic values, the various State Muftis have been reinterpreting Islamic Law to demonstrate its relevance in the modern age. This history provides an insight into themes of 20th-century Islamic thinking. Four case studies demonstrate how fatwas can be used as sources for legal, social, intellectual and mentality history.","author":[{"dropping-particle":"","family":"Skovgaard-Petersen","given":"Jakob","non-dropping-particle":"","parse-names":false,"suffix":""}],"edition":"1","id":"ITEM-1","issued":{"date-parts":[["1997"]]},"publisher":"Brill Academic Publishers","publisher-place":"Leiden, The Netherlands","title":"Defining Islam for the Egyptian State: Muftis and Fatwas of the Dar Al-Ifta (Social, Economic and Political Studies of the Middle East and Asia)","type":"book"},"uris":["http://www.mendeley.com/documents/?uuid=38ea1e6f-33da-438b-8cb3-9eac4f39efe5"]}],"mendeley":{"formattedCitation":"(Skovgaard-Petersen, 1997)","plainTextFormattedCitation":"(Skovgaard-Petersen, 1997)","previouslyFormattedCitation":"(Skovgaard-Petersen, 1997)"},"properties":{"noteIndex":0},"schema":"https://github.com/citation-style-language/schema/raw/master/csl-citation.json"}</w:instrText>
      </w:r>
      <w:r w:rsidRPr="00C55B9C">
        <w:fldChar w:fldCharType="separate"/>
      </w:r>
      <w:r w:rsidRPr="00C55B9C">
        <w:rPr>
          <w:rFonts w:ascii="Palatino Linotype" w:hAnsi="Palatino Linotype" w:cs="Times New Roman"/>
          <w:sz w:val="24"/>
          <w:szCs w:val="24"/>
        </w:rPr>
        <w:t>(Skovgaard-Petersen, 1997)</w:t>
      </w:r>
      <w:r w:rsidRPr="00C55B9C">
        <w:fldChar w:fldCharType="end"/>
      </w:r>
      <w:r w:rsidR="00CF26C7" w:rsidRPr="00C55B9C">
        <w:rPr>
          <w:rFonts w:ascii="Palatino Linotype" w:hAnsi="Palatino Linotype" w:cs="Times New Roman"/>
          <w:sz w:val="24"/>
          <w:szCs w:val="24"/>
        </w:rPr>
        <w:t>,</w:t>
      </w:r>
      <w:r w:rsidRPr="00C55B9C">
        <w:rPr>
          <w:rFonts w:ascii="Palatino Linotype" w:hAnsi="Palatino Linotype" w:cs="Times New Roman"/>
          <w:sz w:val="24"/>
          <w:szCs w:val="24"/>
        </w:rPr>
        <w:t xml:space="preserve"> Gary N. Bunt</w:t>
      </w:r>
      <w:r w:rsidR="00CF26C7" w:rsidRPr="00C55B9C">
        <w:rPr>
          <w:rFonts w:ascii="Palatino Linotype" w:hAnsi="Palatino Linotype" w:cs="Times New Roman"/>
          <w:sz w:val="24"/>
          <w:szCs w:val="24"/>
        </w:rPr>
        <w:t xml:space="preserve"> </w:t>
      </w:r>
      <w:r w:rsidRPr="00C55B9C">
        <w:fldChar w:fldCharType="begin" w:fldLock="1"/>
      </w:r>
      <w:r w:rsidRPr="00C55B9C">
        <w:rPr>
          <w:rFonts w:ascii="Palatino Linotype" w:hAnsi="Palatino Linotype" w:cs="Times New Roman"/>
          <w:sz w:val="24"/>
          <w:szCs w:val="24"/>
        </w:rPr>
        <w:instrText>ADDIN CSL_CITATION {"citationItems":[{"id":"ITEM-1","itemData":{"ISBN":"9780745320991","author":[{"dropping-particle":"","family":"Bunt","given":"Gary R.","non-dropping-particle":"","parse-names":false,"suffix":""}],"edition":"1","id":"ITEM-1","issued":{"date-parts":[["2003"]]},"publisher":"Pluto Press London","publisher-place":"London, UK","title":"Islam in the Digital Age: E-Jihad, Online Fatwas and Cyber Islamic Environments","type":"book"},"uris":["http://www.mendeley.com/documents/?uuid=aac943cb-2935-49dd-80a9-5762ce44284f"]}],"mendeley":{"formattedCitation":"(Bunt, 2003)","plainTextFormattedCitation":"(Bunt, 2003)","previouslyFormattedCitation":"(Bunt, 2003)"},"properties":{"noteIndex":0},"schema":"https://github.com/citation-style-language/schema/raw/master/csl-citation.json"}</w:instrText>
      </w:r>
      <w:r w:rsidRPr="00C55B9C">
        <w:fldChar w:fldCharType="separate"/>
      </w:r>
      <w:r w:rsidRPr="00C55B9C">
        <w:rPr>
          <w:rFonts w:ascii="Palatino Linotype" w:hAnsi="Palatino Linotype" w:cs="Times New Roman"/>
          <w:sz w:val="24"/>
          <w:szCs w:val="24"/>
        </w:rPr>
        <w:t>(Bunt, 2003)</w:t>
      </w:r>
      <w:r w:rsidRPr="00C55B9C">
        <w:fldChar w:fldCharType="end"/>
      </w:r>
      <w:r w:rsidR="00CF26C7" w:rsidRPr="00C55B9C">
        <w:rPr>
          <w:rFonts w:ascii="Palatino Linotype" w:hAnsi="Palatino Linotype" w:cs="Times New Roman"/>
          <w:sz w:val="24"/>
          <w:szCs w:val="24"/>
        </w:rPr>
        <w:t>,</w:t>
      </w:r>
      <w:r w:rsidRPr="00C55B9C">
        <w:rPr>
          <w:rFonts w:ascii="Palatino Linotype" w:hAnsi="Palatino Linotype" w:cs="Times New Roman"/>
          <w:sz w:val="24"/>
          <w:szCs w:val="24"/>
        </w:rPr>
        <w:t xml:space="preserve"> dan Arun Shourie</w:t>
      </w:r>
      <w:r w:rsidR="00FE5443" w:rsidRPr="00C55B9C">
        <w:rPr>
          <w:rFonts w:ascii="Palatino Linotype" w:hAnsi="Palatino Linotype" w:cs="Times New Roman"/>
          <w:sz w:val="24"/>
          <w:szCs w:val="24"/>
        </w:rPr>
        <w:t xml:space="preserve"> </w:t>
      </w:r>
      <w:r w:rsidRPr="00C55B9C">
        <w:fldChar w:fldCharType="begin" w:fldLock="1"/>
      </w:r>
      <w:r w:rsidRPr="00C55B9C">
        <w:rPr>
          <w:rFonts w:ascii="Palatino Linotype" w:hAnsi="Palatino Linotype" w:cs="Times New Roman"/>
          <w:sz w:val="24"/>
          <w:szCs w:val="24"/>
        </w:rPr>
        <w:instrText>ADDIN CSL_CITATION {"citationItems":[{"id":"ITEM-1","itemData":{"ISBN":"978-93-5029-342-3","author":[{"dropping-particle":"","family":"Shourie","given":"Arun","non-dropping-particle":"","parse-names":false,"suffix":""}],"edition":"1","id":"ITEM-1","issued":{"date-parts":[["2012"]]},"publisher":"Harper Collins","publisher-place":"Uttar Pradesh, India","title":"The World of Fatwas Or The Sharia in Action","type":"book"},"uris":["http://www.mendeley.com/documents/?uuid=9f0d9687-9cbc-4ee5-b1fd-34a28f5406eb"]}],"mendeley":{"formattedCitation":"(Shourie, 2012)","plainTextFormattedCitation":"(Shourie, 2012)","previouslyFormattedCitation":"(Shourie, 2012)"},"properties":{"noteIndex":0},"schema":"https://github.com/citation-style-language/schema/raw/master/csl-citation.json"}</w:instrText>
      </w:r>
      <w:r w:rsidRPr="00C55B9C">
        <w:fldChar w:fldCharType="separate"/>
      </w:r>
      <w:r w:rsidRPr="00C55B9C">
        <w:rPr>
          <w:rFonts w:ascii="Palatino Linotype" w:hAnsi="Palatino Linotype" w:cs="Times New Roman"/>
          <w:sz w:val="24"/>
          <w:szCs w:val="24"/>
        </w:rPr>
        <w:t>(Shourie, 2012)</w:t>
      </w:r>
      <w:r w:rsidRPr="00C55B9C">
        <w:fldChar w:fldCharType="end"/>
      </w:r>
      <w:r w:rsidR="00FE5443" w:rsidRPr="00C55B9C">
        <w:rPr>
          <w:rFonts w:ascii="Palatino Linotype" w:hAnsi="Palatino Linotype" w:cs="Times New Roman"/>
          <w:sz w:val="24"/>
          <w:szCs w:val="24"/>
        </w:rPr>
        <w:t>.</w:t>
      </w:r>
      <w:r w:rsidRPr="00C55B9C">
        <w:rPr>
          <w:rFonts w:ascii="Palatino Linotype" w:hAnsi="Palatino Linotype" w:cs="Times New Roman"/>
          <w:sz w:val="24"/>
          <w:szCs w:val="24"/>
        </w:rPr>
        <w:t xml:space="preserve"> Dari kalangan Muslim, lahirnya kritik terhadap fatwa dilatarbelakangi keprihatinan terhadap aspek-aspek metodologis dan etis yang banyak tidak terpenuhi dalam fatwa-fatwa kontemporer. Di antara para sarjana Muslim yang banyak melakukan kritik adalah Kenan Malik</w:t>
      </w:r>
      <w:r w:rsidR="00FE5443" w:rsidRPr="00C55B9C">
        <w:rPr>
          <w:rFonts w:ascii="Palatino Linotype" w:hAnsi="Palatino Linotype" w:cs="Times New Roman"/>
          <w:sz w:val="24"/>
          <w:szCs w:val="24"/>
        </w:rPr>
        <w:t xml:space="preserve"> </w:t>
      </w:r>
      <w:r w:rsidRPr="00C55B9C">
        <w:fldChar w:fldCharType="begin" w:fldLock="1"/>
      </w:r>
      <w:r w:rsidRPr="00C55B9C">
        <w:rPr>
          <w:rFonts w:ascii="Palatino Linotype" w:hAnsi="Palatino Linotype" w:cs="Times New Roman"/>
          <w:sz w:val="24"/>
          <w:szCs w:val="24"/>
        </w:rPr>
        <w:instrText>ADDIN CSL_CITATION {"citationItems":[{"id":"ITEM-1","itemData":{"ISBN":"9781935554752","author":[{"dropping-particle":"","family":"Malik","given":"Kenan","non-dropping-particle":"","parse-names":false,"suffix":""}],"edition":"1","id":"ITEM-1","issued":{"date-parts":[["2009"]]},"publisher":"Atlantic Book","publisher-place":"London, UK","title":"From fatwa to jihad the Rushdie affair and its aftermath","type":"book"},"uris":["http://www.mendeley.com/documents/?uuid=ca020b11-e7b0-4582-b6f0-7a7dde7094d6"]}],"mendeley":{"formattedCitation":"(Malik, 2009)","plainTextFormattedCitation":"(Malik, 2009)","previouslyFormattedCitation":"(Malik, 2009)"},"properties":{"noteIndex":0},"schema":"https://github.com/citation-style-language/schema/raw/master/csl-citation.json"}</w:instrText>
      </w:r>
      <w:r w:rsidRPr="00C55B9C">
        <w:fldChar w:fldCharType="separate"/>
      </w:r>
      <w:r w:rsidRPr="00C55B9C">
        <w:rPr>
          <w:rFonts w:ascii="Palatino Linotype" w:hAnsi="Palatino Linotype" w:cs="Times New Roman"/>
          <w:sz w:val="24"/>
          <w:szCs w:val="24"/>
        </w:rPr>
        <w:t>(Malik, 2009)</w:t>
      </w:r>
      <w:r w:rsidRPr="00C55B9C">
        <w:fldChar w:fldCharType="end"/>
      </w:r>
      <w:r w:rsidRPr="00C55B9C">
        <w:rPr>
          <w:rFonts w:ascii="Palatino Linotype" w:hAnsi="Palatino Linotype" w:cs="Times New Roman"/>
          <w:sz w:val="24"/>
          <w:szCs w:val="24"/>
        </w:rPr>
        <w:t xml:space="preserve"> Moch Mukri</w:t>
      </w:r>
      <w:r w:rsidR="00FE5443" w:rsidRPr="00C55B9C">
        <w:rPr>
          <w:rFonts w:ascii="Palatino Linotype" w:hAnsi="Palatino Linotype" w:cs="Times New Roman"/>
          <w:sz w:val="24"/>
          <w:szCs w:val="24"/>
        </w:rPr>
        <w:t xml:space="preserve"> </w:t>
      </w:r>
      <w:r w:rsidRPr="00C55B9C">
        <w:fldChar w:fldCharType="begin" w:fldLock="1"/>
      </w:r>
      <w:r w:rsidRPr="00C55B9C">
        <w:rPr>
          <w:rFonts w:ascii="Palatino Linotype" w:hAnsi="Palatino Linotype" w:cs="Times New Roman"/>
          <w:sz w:val="24"/>
          <w:szCs w:val="24"/>
        </w:rPr>
        <w:instrText>ADDIN CSL_CITATION {"citationItems":[{"id":"ITEM-1","itemData":{"ISBN":"9786026910655","author":[{"dropping-particle":"","family":"Mukri","given":"Moh.","non-dropping-particle":"","parse-names":false,"suffix":""}],"edition":"1","id":"ITEM-1","issued":{"date-parts":[["2015"]]},"publisher":"LP2M IAIN Raden Intan Lampung","publisher-place":"Bandar Lampung, Lampung","title":"Fundamentalisme dalam Islam: Paham dan Fatwa Ulama Wahabi","type":"book"},"uris":["http://www.mendeley.com/documents/?uuid=39233028-2cf0-4fba-bf08-995a3f2c03a4"]}],"mendeley":{"formattedCitation":"(Mukri, 2015)","plainTextFormattedCitation":"(Mukri, 2015)","previouslyFormattedCitation":"(Mukri, 2015)"},"properties":{"noteIndex":0},"schema":"https://github.com/citation-style-language/schema/raw/master/csl-citation.json"}</w:instrText>
      </w:r>
      <w:r w:rsidRPr="00C55B9C">
        <w:fldChar w:fldCharType="separate"/>
      </w:r>
      <w:r w:rsidRPr="00C55B9C">
        <w:rPr>
          <w:rFonts w:ascii="Palatino Linotype" w:hAnsi="Palatino Linotype" w:cs="Times New Roman"/>
          <w:sz w:val="24"/>
          <w:szCs w:val="24"/>
        </w:rPr>
        <w:t>(Mukri, 2015)</w:t>
      </w:r>
      <w:r w:rsidRPr="00C55B9C">
        <w:fldChar w:fldCharType="end"/>
      </w:r>
      <w:r w:rsidR="00FE5443" w:rsidRPr="00C55B9C">
        <w:rPr>
          <w:rFonts w:ascii="Palatino Linotype" w:hAnsi="Palatino Linotype" w:cs="Times New Roman"/>
          <w:sz w:val="24"/>
          <w:szCs w:val="24"/>
        </w:rPr>
        <w:t>,</w:t>
      </w:r>
      <w:r w:rsidRPr="00C55B9C">
        <w:rPr>
          <w:rFonts w:ascii="Palatino Linotype" w:hAnsi="Palatino Linotype" w:cs="Times New Roman"/>
          <w:sz w:val="24"/>
          <w:szCs w:val="24"/>
        </w:rPr>
        <w:t xml:space="preserve"> karima Bennoune</w:t>
      </w:r>
      <w:r w:rsidR="00FE5443" w:rsidRPr="00C55B9C">
        <w:rPr>
          <w:rFonts w:ascii="Palatino Linotype" w:hAnsi="Palatino Linotype" w:cs="Times New Roman"/>
          <w:sz w:val="24"/>
          <w:szCs w:val="24"/>
        </w:rPr>
        <w:t xml:space="preserve"> </w:t>
      </w:r>
      <w:r w:rsidRPr="00C55B9C">
        <w:fldChar w:fldCharType="begin" w:fldLock="1"/>
      </w:r>
      <w:r w:rsidRPr="00C55B9C">
        <w:rPr>
          <w:rFonts w:ascii="Palatino Linotype" w:hAnsi="Palatino Linotype" w:cs="Times New Roman"/>
          <w:sz w:val="24"/>
          <w:szCs w:val="24"/>
        </w:rPr>
        <w:instrText>ADDIN CSL_CITATION {"citationItems":[{"id":"ITEM-1","itemData":{"ISBN":"9780393081589","abstract":"Eye-opening accounts of heroic resistance to religious extremism. In Lahore, Pakistan, Faizan Peerzada resisted being relegated to a “dark corner” by staging a performing arts festival despite bomb attacks. In Senegal, wheelchair-bound Aissatou Cissé produced a comic book to illustrate the injustices faced by disabled women and girls. In Algeria, publisher Omar Belhouchet and his journalists struggled to put out their paper, El Watan (The Nation), the same night that a 1996 jihadist bombing devastated their offices and killed eighteen of their colleagues. In Afghanistan, Young Women for Change took to the streets of Kabul to denounce sexual harassment, undeterred by threats. In Minneapolis, Minnesota, Abdirizak Bihi organized a Ramadan basketball tournament among Somali refugees to counter the influence of Al Shabaab. From Karachi to Tunis, Kabul to Tehran, across the Middle East, North Africa, South Asia, and beyond, these trailblazers often risked death to combat the rising tide of fundamentalism within their own countries. But this global community of writers, artists, doctors, musicians, museum curators, lawyers, activists, and educators of Muslim heritage remains largely invisible, lost amid the heated coverage of Islamist terror attacks on one side and abuses perpetrated against suspected terrorists on the other. A veteran of twenty years of human rights research and activism, Karima Bennoune draws on extensive fieldwork and interviews to illuminate the inspiring stories of those who represent one of the best hopes for ending fundamentalist oppression worldwide.","author":[{"dropping-particle":"","family":"Bennoune","given":"Karima","non-dropping-particle":"","parse-names":false,"suffix":""}],"edition":"1","id":"ITEM-1","issued":{"date-parts":[["2013"]]},"publisher":"W. W. Norton &amp; Company","publisher-place":"New York, USA","title":"Your Fatwa Does Not Apply Here: Untold Stories from the Fight Against Muslim Fundamentalism","type":"book"},"uris":["http://www.mendeley.com/documents/?uuid=8e0c028f-ab27-4d6f-8a48-7a3c4ce8098f"]}],"mendeley":{"formattedCitation":"(Bennoune, 2013)","plainTextFormattedCitation":"(Bennoune, 2013)","previouslyFormattedCitation":"(Bennoune, 2013)"},"properties":{"noteIndex":0},"schema":"https://github.com/citation-style-language/schema/raw/master/csl-citation.json"}</w:instrText>
      </w:r>
      <w:r w:rsidRPr="00C55B9C">
        <w:fldChar w:fldCharType="separate"/>
      </w:r>
      <w:r w:rsidRPr="00C55B9C">
        <w:rPr>
          <w:rFonts w:ascii="Palatino Linotype" w:hAnsi="Palatino Linotype" w:cs="Times New Roman"/>
          <w:sz w:val="24"/>
          <w:szCs w:val="24"/>
        </w:rPr>
        <w:t>(Bennoune, 2013)</w:t>
      </w:r>
      <w:r w:rsidRPr="00C55B9C">
        <w:fldChar w:fldCharType="end"/>
      </w:r>
      <w:r w:rsidR="00FE5443" w:rsidRPr="00C55B9C">
        <w:rPr>
          <w:rFonts w:ascii="Palatino Linotype" w:hAnsi="Palatino Linotype" w:cs="Times New Roman"/>
          <w:sz w:val="24"/>
          <w:szCs w:val="24"/>
        </w:rPr>
        <w:t>,</w:t>
      </w:r>
      <w:r w:rsidRPr="00C55B9C">
        <w:rPr>
          <w:rFonts w:ascii="Palatino Linotype" w:hAnsi="Palatino Linotype" w:cs="Times New Roman"/>
          <w:sz w:val="24"/>
          <w:szCs w:val="24"/>
        </w:rPr>
        <w:t xml:space="preserve"> Zulfikar Ali Shah</w:t>
      </w:r>
      <w:r w:rsidR="00FE5443" w:rsidRPr="00C55B9C">
        <w:rPr>
          <w:rFonts w:ascii="Palatino Linotype" w:hAnsi="Palatino Linotype" w:cs="Times New Roman"/>
          <w:sz w:val="24"/>
          <w:szCs w:val="24"/>
        </w:rPr>
        <w:t xml:space="preserve"> </w:t>
      </w:r>
      <w:r w:rsidRPr="00C55B9C">
        <w:fldChar w:fldCharType="begin" w:fldLock="1"/>
      </w:r>
      <w:r w:rsidRPr="00C55B9C">
        <w:rPr>
          <w:rFonts w:ascii="Palatino Linotype" w:hAnsi="Palatino Linotype" w:cs="Times New Roman"/>
          <w:sz w:val="24"/>
          <w:szCs w:val="24"/>
        </w:rPr>
        <w:instrText>ADDIN CSL_CITATION {"citationItems":[{"id":"ITEM-1","itemData":{"ISBN":"9781565644830","author":[{"dropping-particle":"","family":"Shah","given":"Zulfiqar Ali","non-dropping-particle":"","parse-names":false,"suffix":""}],"edition":"1","id":"ITEM-1","issued":{"date-parts":[["2014"]]},"publisher":"The International Institute of Islamic Thought","publisher-place":"London, UK","title":"Ifta</w:instrText>
      </w:r>
      <w:r w:rsidRPr="00C55B9C">
        <w:rPr>
          <w:rFonts w:ascii="Times New Roman" w:hAnsi="Times New Roman" w:cs="Times New Roman"/>
          <w:sz w:val="24"/>
          <w:szCs w:val="24"/>
        </w:rPr>
        <w:instrText>̄ʼ</w:instrText>
      </w:r>
      <w:r w:rsidRPr="00C55B9C">
        <w:rPr>
          <w:rFonts w:ascii="Palatino Linotype" w:hAnsi="Palatino Linotype" w:cs="Times New Roman"/>
          <w:sz w:val="24"/>
          <w:szCs w:val="24"/>
        </w:rPr>
        <w:instrText xml:space="preserve"> and fatwa in the Muslim world and the West","type":"book"},"uris":["http://www.mendeley.com/documents/?uuid=42208d5b-2725-4e67-94c8-79ff3b643fd0"]}],"mendeley":{"formattedCitation":"(Shah, 2014)","plainTextFormattedCitation":"(Shah, 2014)","previouslyFormattedCitation":"(Shah, 2014)"},"properties":{"noteIndex":0},"schema":"https://github.com/citation-style-language/schema/raw/master/csl-citation.json"}</w:instrText>
      </w:r>
      <w:r w:rsidRPr="00C55B9C">
        <w:fldChar w:fldCharType="separate"/>
      </w:r>
      <w:r w:rsidRPr="00C55B9C">
        <w:rPr>
          <w:rFonts w:ascii="Palatino Linotype" w:hAnsi="Palatino Linotype" w:cs="Times New Roman"/>
          <w:sz w:val="24"/>
          <w:szCs w:val="24"/>
        </w:rPr>
        <w:t>(Shah, 2014)</w:t>
      </w:r>
      <w:r w:rsidRPr="00C55B9C">
        <w:fldChar w:fldCharType="end"/>
      </w:r>
      <w:r w:rsidR="00FE5443" w:rsidRPr="00C55B9C">
        <w:rPr>
          <w:rFonts w:ascii="Palatino Linotype" w:hAnsi="Palatino Linotype" w:cs="Times New Roman"/>
          <w:sz w:val="24"/>
          <w:szCs w:val="24"/>
        </w:rPr>
        <w:t>,</w:t>
      </w:r>
      <w:r w:rsidRPr="00C55B9C">
        <w:rPr>
          <w:rFonts w:ascii="Palatino Linotype" w:hAnsi="Palatino Linotype" w:cs="Times New Roman"/>
          <w:sz w:val="24"/>
          <w:szCs w:val="24"/>
        </w:rPr>
        <w:t xml:space="preserve"> Abu Asybal Muhammd bin Salim al-Misri</w:t>
      </w:r>
      <w:r w:rsidR="00FE5443" w:rsidRPr="00C55B9C">
        <w:rPr>
          <w:rFonts w:ascii="Palatino Linotype" w:hAnsi="Palatino Linotype" w:cs="Times New Roman"/>
          <w:sz w:val="24"/>
          <w:szCs w:val="24"/>
        </w:rPr>
        <w:t xml:space="preserve"> </w:t>
      </w:r>
      <w:r w:rsidRPr="00C55B9C">
        <w:fldChar w:fldCharType="begin" w:fldLock="1"/>
      </w:r>
      <w:r w:rsidRPr="00C55B9C">
        <w:rPr>
          <w:rFonts w:ascii="Palatino Linotype" w:hAnsi="Palatino Linotype" w:cs="Times New Roman"/>
          <w:sz w:val="24"/>
          <w:szCs w:val="24"/>
        </w:rPr>
        <w:instrText>ADDIN CSL_CITATION {"citationItems":[{"id":"ITEM-1","itemData":{"author":[{"dropping-particle":"","family":"Al-Misri","given":"Abul Asybal Ahmad bi Salim","non-dropping-particle":"","parse-names":false,"suffix":""}],"edition":"1","editor":[{"dropping-particle":"","family":"Amrullah","given":"Muhammad Iqbal","non-dropping-particle":"","parse-names":false,"suffix":""},{"dropping-particle":"","family":"Aini","given":"Musthafa","non-dropping-particle":"","parse-names":false,"suffix":""}],"id":"ITEM-1","issued":{"date-parts":[["2006"]]},"publisher":"Darul Haq","publisher-place":"Jakarta, Indonesia","title":"Fatwa Fatwa Terlengkap Seputar Terrorisme, Jihad dan Mengkafirkan Muslim","type":"book"},"uris":["http://www.mendeley.com/documents/?uuid=74259037-d593-49cb-b59f-a6946c0292c6"]}],"mendeley":{"formattedCitation":"(Al-Misri, 2006)","plainTextFormattedCitation":"(Al-Misri, 2006)","previouslyFormattedCitation":"(Al-Misri, 2006)"},"properties":{"noteIndex":0},"schema":"https://github.com/citation-style-language/schema/raw/master/csl-citation.json"}</w:instrText>
      </w:r>
      <w:r w:rsidRPr="00C55B9C">
        <w:fldChar w:fldCharType="separate"/>
      </w:r>
      <w:r w:rsidRPr="00C55B9C">
        <w:rPr>
          <w:rFonts w:ascii="Palatino Linotype" w:hAnsi="Palatino Linotype" w:cs="Times New Roman"/>
          <w:sz w:val="24"/>
          <w:szCs w:val="24"/>
        </w:rPr>
        <w:t>(Al-Misri, 2006)</w:t>
      </w:r>
      <w:r w:rsidRPr="00C55B9C">
        <w:fldChar w:fldCharType="end"/>
      </w:r>
      <w:r w:rsidR="00FE5443" w:rsidRPr="00C55B9C">
        <w:rPr>
          <w:rFonts w:ascii="Palatino Linotype" w:hAnsi="Palatino Linotype" w:cs="Times New Roman"/>
          <w:sz w:val="24"/>
          <w:szCs w:val="24"/>
        </w:rPr>
        <w:t>,</w:t>
      </w:r>
      <w:r w:rsidRPr="00C55B9C">
        <w:rPr>
          <w:rFonts w:ascii="Palatino Linotype" w:hAnsi="Palatino Linotype" w:cs="Times New Roman"/>
          <w:sz w:val="24"/>
          <w:szCs w:val="24"/>
        </w:rPr>
        <w:t xml:space="preserve"> Yusuf Qardhawi</w:t>
      </w:r>
      <w:r w:rsidR="00FE5443" w:rsidRPr="00C55B9C">
        <w:rPr>
          <w:rFonts w:ascii="Palatino Linotype" w:hAnsi="Palatino Linotype" w:cs="Times New Roman"/>
          <w:sz w:val="24"/>
          <w:szCs w:val="24"/>
        </w:rPr>
        <w:t xml:space="preserve"> </w:t>
      </w:r>
      <w:r w:rsidRPr="00C55B9C">
        <w:fldChar w:fldCharType="begin" w:fldLock="1"/>
      </w:r>
      <w:r w:rsidRPr="00C55B9C">
        <w:rPr>
          <w:rFonts w:ascii="Palatino Linotype" w:hAnsi="Palatino Linotype" w:cs="Times New Roman"/>
          <w:sz w:val="24"/>
          <w:szCs w:val="24"/>
        </w:rPr>
        <w:instrText>ADDIN CSL_CITATION {"citationItems":[{"id":"ITEM-1","itemData":{"author":[{"dropping-particle":"","family":"Qardhawi","given":"Yusuf","non-dropping-particle":"","parse-names":false,"suffix":""}],"edition":"1","id":"ITEM-1","issued":{"date-parts":[["1988"]]},"publisher":"Dar al-Shahwah lin-nasyr wa al-tauzi'","publisher-place":"Kairo, Mesir","title":"al-Fatwa bain al-Inthibath wa al-Tasayub","type":"book"},"uris":["http://www.mendeley.com/documents/?uuid=19491054-0192-42b8-8559-6c00366c6d4a"]}],"mendeley":{"formattedCitation":"(Qardhawi, 1988)","plainTextFormattedCitation":"(Qardhawi, 1988)","previouslyFormattedCitation":"(Qardhawi, 1988)"},"properties":{"noteIndex":0},"schema":"https://github.com/citation-style-language/schema/raw/master/csl-citation.json"}</w:instrText>
      </w:r>
      <w:r w:rsidRPr="00C55B9C">
        <w:fldChar w:fldCharType="separate"/>
      </w:r>
      <w:r w:rsidRPr="00C55B9C">
        <w:rPr>
          <w:rFonts w:ascii="Palatino Linotype" w:hAnsi="Palatino Linotype" w:cs="Times New Roman"/>
          <w:sz w:val="24"/>
          <w:szCs w:val="24"/>
        </w:rPr>
        <w:t>(Qardhawi, 1988)</w:t>
      </w:r>
      <w:r w:rsidRPr="00C55B9C">
        <w:fldChar w:fldCharType="end"/>
      </w:r>
      <w:r w:rsidR="00FE5443" w:rsidRPr="00C55B9C">
        <w:rPr>
          <w:rFonts w:ascii="Palatino Linotype" w:hAnsi="Palatino Linotype" w:cs="Times New Roman"/>
          <w:sz w:val="24"/>
          <w:szCs w:val="24"/>
        </w:rPr>
        <w:t>,</w:t>
      </w:r>
      <w:r w:rsidRPr="00C55B9C">
        <w:rPr>
          <w:rFonts w:ascii="Palatino Linotype" w:hAnsi="Palatino Linotype" w:cs="Times New Roman"/>
          <w:sz w:val="24"/>
          <w:szCs w:val="24"/>
        </w:rPr>
        <w:t xml:space="preserve"> Khalid Abou al-Fadl</w:t>
      </w:r>
      <w:r w:rsidR="00FE5443" w:rsidRPr="00C55B9C">
        <w:rPr>
          <w:rFonts w:ascii="Palatino Linotype" w:hAnsi="Palatino Linotype" w:cs="Times New Roman"/>
          <w:sz w:val="24"/>
          <w:szCs w:val="24"/>
        </w:rPr>
        <w:t xml:space="preserve"> </w:t>
      </w:r>
      <w:r w:rsidR="00FE5443" w:rsidRPr="00C55B9C">
        <w:rPr>
          <w:rFonts w:ascii="Palatino Linotype" w:hAnsi="Palatino Linotype" w:cs="Times New Roman"/>
          <w:sz w:val="24"/>
          <w:szCs w:val="24"/>
        </w:rPr>
        <w:fldChar w:fldCharType="begin" w:fldLock="1"/>
      </w:r>
      <w:r w:rsidR="00B829C5" w:rsidRPr="00C55B9C">
        <w:rPr>
          <w:rFonts w:ascii="Palatino Linotype" w:hAnsi="Palatino Linotype" w:cs="Times New Roman"/>
          <w:sz w:val="24"/>
          <w:szCs w:val="24"/>
        </w:rPr>
        <w:instrText>ADDIN CSL_CITATION {"citationItems":[{"id":"ITEM-1","itemData":{"ISBN":"978-1-78074-468-1","author":[{"dropping-particle":"","family":"El-Fadl","given":"Khaled M. Abou","non-dropping-particle":"","parse-names":false,"suffix":""}],"id":"ITEM-1","issued":{"date-parts":[["2014"]]},"publisher":"Oneworld Publications","publisher-place":"London, England","title":"Speaking in God’s Name: Islamic Law, Authority, and Women","type":"book"},"uris":["http://www.mendeley.com/documents/?uuid=c0c7f2ff-6d36-4fab-881b-ea76b0dda430"]}],"mendeley":{"formattedCitation":"(El-Fadl, 2014)","plainTextFormattedCitation":"(El-Fadl, 2014)","previouslyFormattedCitation":"(El-Fadl, 2014)"},"properties":{"noteIndex":0},"schema":"https://github.com/citation-style-language/schema/raw/master/csl-citation.json"}</w:instrText>
      </w:r>
      <w:r w:rsidR="00FE5443" w:rsidRPr="00C55B9C">
        <w:rPr>
          <w:rFonts w:ascii="Palatino Linotype" w:hAnsi="Palatino Linotype" w:cs="Times New Roman"/>
          <w:sz w:val="24"/>
          <w:szCs w:val="24"/>
        </w:rPr>
        <w:fldChar w:fldCharType="separate"/>
      </w:r>
      <w:r w:rsidR="00B829C5" w:rsidRPr="00C55B9C">
        <w:rPr>
          <w:rFonts w:ascii="Palatino Linotype" w:hAnsi="Palatino Linotype" w:cs="Times New Roman"/>
          <w:sz w:val="24"/>
          <w:szCs w:val="24"/>
        </w:rPr>
        <w:t>(El-Fadl, 2014)</w:t>
      </w:r>
      <w:r w:rsidR="00FE5443" w:rsidRPr="00C55B9C">
        <w:rPr>
          <w:rFonts w:ascii="Palatino Linotype" w:hAnsi="Palatino Linotype" w:cs="Times New Roman"/>
          <w:sz w:val="24"/>
          <w:szCs w:val="24"/>
        </w:rPr>
        <w:fldChar w:fldCharType="end"/>
      </w:r>
      <w:r w:rsidRPr="00C55B9C">
        <w:rPr>
          <w:rFonts w:ascii="Palatino Linotype" w:hAnsi="Palatino Linotype" w:cs="Times New Roman"/>
          <w:sz w:val="24"/>
          <w:szCs w:val="24"/>
        </w:rPr>
        <w:t xml:space="preserve">. </w:t>
      </w:r>
    </w:p>
    <w:p w:rsidR="00D757DA" w:rsidRPr="00C55B9C" w:rsidRDefault="00D757DA" w:rsidP="00E22EDA">
      <w:pPr>
        <w:spacing w:after="0" w:line="276" w:lineRule="auto"/>
        <w:ind w:firstLine="360"/>
        <w:jc w:val="both"/>
        <w:rPr>
          <w:rFonts w:ascii="Palatino Linotype" w:hAnsi="Palatino Linotype" w:cs="Times New Roman"/>
          <w:sz w:val="24"/>
          <w:szCs w:val="24"/>
        </w:rPr>
      </w:pPr>
    </w:p>
    <w:p w:rsidR="00D757DA" w:rsidRPr="00C55B9C" w:rsidRDefault="00D757DA" w:rsidP="00A42CB3">
      <w:pPr>
        <w:pStyle w:val="Heading3"/>
        <w:numPr>
          <w:ilvl w:val="0"/>
          <w:numId w:val="10"/>
        </w:numPr>
        <w:rPr>
          <w:rFonts w:ascii="Palatino Linotype" w:hAnsi="Palatino Linotype"/>
          <w:b/>
          <w:bCs/>
          <w:color w:val="000000" w:themeColor="text1"/>
        </w:rPr>
      </w:pPr>
      <w:r w:rsidRPr="00C55B9C">
        <w:rPr>
          <w:rFonts w:ascii="Palatino Linotype" w:hAnsi="Palatino Linotype"/>
          <w:b/>
          <w:bCs/>
          <w:color w:val="000000" w:themeColor="text1"/>
        </w:rPr>
        <w:t xml:space="preserve">Tawaran Solusi terhadap Kritik </w:t>
      </w:r>
    </w:p>
    <w:p w:rsidR="00D757DA" w:rsidRPr="00C55B9C" w:rsidRDefault="00D757DA" w:rsidP="00A42CB3">
      <w:pPr>
        <w:pStyle w:val="Heading4"/>
        <w:numPr>
          <w:ilvl w:val="0"/>
          <w:numId w:val="16"/>
        </w:numPr>
        <w:rPr>
          <w:rFonts w:ascii="Palatino Linotype" w:hAnsi="Palatino Linotype"/>
          <w:color w:val="000000" w:themeColor="text1"/>
          <w:sz w:val="24"/>
          <w:szCs w:val="24"/>
        </w:rPr>
      </w:pPr>
      <w:r w:rsidRPr="00C55B9C">
        <w:rPr>
          <w:rFonts w:ascii="Palatino Linotype" w:hAnsi="Palatino Linotype"/>
          <w:color w:val="000000" w:themeColor="text1"/>
          <w:sz w:val="24"/>
          <w:szCs w:val="24"/>
        </w:rPr>
        <w:t>Pendekatan Integrasi-Interkoneksi M. Amin Abdullah</w:t>
      </w:r>
    </w:p>
    <w:p w:rsidR="00D757DA" w:rsidRPr="00C55B9C" w:rsidRDefault="00D757DA" w:rsidP="00A769E1">
      <w:pPr>
        <w:widowControl w:val="0"/>
        <w:spacing w:after="120" w:line="240" w:lineRule="auto"/>
        <w:ind w:firstLine="567"/>
        <w:jc w:val="both"/>
        <w:rPr>
          <w:rFonts w:ascii="Palatino Linotype" w:hAnsi="Palatino Linotype" w:cs="Times New Roman"/>
          <w:sz w:val="24"/>
          <w:szCs w:val="24"/>
        </w:rPr>
      </w:pPr>
      <w:r w:rsidRPr="00C55B9C">
        <w:rPr>
          <w:rFonts w:ascii="Palatino Linotype" w:hAnsi="Palatino Linotype" w:cs="Times New Roman"/>
          <w:sz w:val="24"/>
          <w:szCs w:val="24"/>
        </w:rPr>
        <w:t>Dalam perspektif, M. Amin Abdullah, bahwa problem utama keilmuan Islam baik klasik maupun kontemporer adalah mono-disiplin</w:t>
      </w:r>
      <w:r w:rsidR="00FE5443" w:rsidRPr="00C55B9C">
        <w:rPr>
          <w:rFonts w:ascii="Palatino Linotype" w:hAnsi="Palatino Linotype" w:cs="Times New Roman"/>
          <w:sz w:val="24"/>
          <w:szCs w:val="24"/>
        </w:rPr>
        <w:t xml:space="preserve"> </w:t>
      </w:r>
      <w:r w:rsidR="00FE5443" w:rsidRPr="00C55B9C">
        <w:rPr>
          <w:rFonts w:ascii="Palatino Linotype" w:hAnsi="Palatino Linotype" w:cs="Times New Roman"/>
          <w:sz w:val="24"/>
          <w:szCs w:val="24"/>
        </w:rPr>
        <w:fldChar w:fldCharType="begin" w:fldLock="1"/>
      </w:r>
      <w:r w:rsidR="00173E91" w:rsidRPr="00C55B9C">
        <w:rPr>
          <w:rFonts w:ascii="Palatino Linotype" w:hAnsi="Palatino Linotype" w:cs="Times New Roman"/>
          <w:sz w:val="24"/>
          <w:szCs w:val="24"/>
        </w:rPr>
        <w:instrText>ADDIN CSL_CITATION {"citationItems":[{"id":"ITEM-1","itemData":{"ISBN":"978-623-91744-2-2","author":[{"dropping-particle":"","family":"Abdullah","given":"M. Amin","non-dropping-particle":"","parse-names":false,"suffix":""}],"edition":"2","editor":[{"dropping-particle":"","family":"Khoirudin","given":"Azaki","non-dropping-particle":"","parse-names":false,"suffix":""}],"id":"ITEM-1","issued":{"date-parts":[["2020"]]},"publisher":"IB Pustaka","publisher-place":"Yogyakarta, Indonesia","title":"Multidisiplin, Interdisiplin, dan Transdisiplin: Metode Studi Agama dan Studi Islam di Era Kontemporer","type":"book"},"uris":["http://www.mendeley.com/documents/?uuid=aebf2980-43e5-4371-b6e1-892794f1084f"]}],"mendeley":{"formattedCitation":"(Abdullah, 2020)","plainTextFormattedCitation":"(Abdullah, 2020)","previouslyFormattedCitation":"(Abdullah, 2020)"},"properties":{"noteIndex":0},"schema":"https://github.com/citation-style-language/schema/raw/master/csl-citation.json"}</w:instrText>
      </w:r>
      <w:r w:rsidR="00FE5443" w:rsidRPr="00C55B9C">
        <w:rPr>
          <w:rFonts w:ascii="Palatino Linotype" w:hAnsi="Palatino Linotype" w:cs="Times New Roman"/>
          <w:sz w:val="24"/>
          <w:szCs w:val="24"/>
        </w:rPr>
        <w:fldChar w:fldCharType="separate"/>
      </w:r>
      <w:r w:rsidR="00FE5443" w:rsidRPr="00C55B9C">
        <w:rPr>
          <w:rFonts w:ascii="Palatino Linotype" w:hAnsi="Palatino Linotype" w:cs="Times New Roman"/>
          <w:sz w:val="24"/>
          <w:szCs w:val="24"/>
        </w:rPr>
        <w:t>(Abdullah, 2020)</w:t>
      </w:r>
      <w:r w:rsidR="00FE5443" w:rsidRPr="00C55B9C">
        <w:rPr>
          <w:rFonts w:ascii="Palatino Linotype" w:hAnsi="Palatino Linotype" w:cs="Times New Roman"/>
          <w:sz w:val="24"/>
          <w:szCs w:val="24"/>
        </w:rPr>
        <w:fldChar w:fldCharType="end"/>
      </w:r>
      <w:r w:rsidR="00FE5443" w:rsidRPr="00C55B9C">
        <w:rPr>
          <w:rFonts w:ascii="Palatino Linotype" w:hAnsi="Palatino Linotype" w:cs="Times New Roman"/>
          <w:sz w:val="24"/>
          <w:szCs w:val="24"/>
        </w:rPr>
        <w:t xml:space="preserve">, </w:t>
      </w:r>
      <w:r w:rsidRPr="00C55B9C">
        <w:rPr>
          <w:rFonts w:ascii="Palatino Linotype" w:hAnsi="Palatino Linotype" w:cs="Times New Roman"/>
          <w:sz w:val="24"/>
          <w:szCs w:val="24"/>
        </w:rPr>
        <w:t>dan terkungkung pada teks</w:t>
      </w:r>
      <w:r w:rsidR="00FE5443" w:rsidRPr="00C55B9C">
        <w:rPr>
          <w:rFonts w:ascii="Palatino Linotype" w:hAnsi="Palatino Linotype" w:cs="Times New Roman"/>
          <w:sz w:val="24"/>
          <w:szCs w:val="24"/>
        </w:rPr>
        <w:t xml:space="preserve"> </w:t>
      </w:r>
      <w:r w:rsidRPr="00C55B9C">
        <w:fldChar w:fldCharType="begin" w:fldLock="1"/>
      </w:r>
      <w:r w:rsidRPr="00C55B9C">
        <w:rPr>
          <w:rFonts w:ascii="Palatino Linotype" w:hAnsi="Palatino Linotype" w:cs="Times New Roman"/>
          <w:sz w:val="24"/>
          <w:szCs w:val="24"/>
        </w:rPr>
        <w:instrText>ADDIN CSL_CITATION {"citationItems":[{"id":"ITEM-1","itemData":{"ISBN":"9786027208483","author":[{"dropping-particle":"","family":"Abdullah","given":"M. Amin","non-dropping-particle":"","parse-names":false,"suffix":""}],"container-title":"Implementasi Pendekatan Integratif-Interkonektif Dalam Kajian Pendidikan Islam","edition":"1","editor":[{"dropping-particle":"","family":"Maragustam","given":"","non-dropping-particle":"","parse-names":false,"suffix":""}],"id":"ITEM-1","issued":{"date-parts":[["2014"]]},"page":"1-32","publisher":"Pascasarjana UIN Sunan Kalijaga Yogyakarta","publisher-place":"Yogyakarta, Indonesia","title":"Implementasi Pendekatan Integratif-Interkonektif Dalam Kajian Pemikiran Pendidikan Islam (Fresh Ijtihad Memperjumpakan Ulum Al-Din Dan Sains Modern Dalam Pemikiran Pendidikan Islam)","type":"chapter"},"uris":["http://www.mendeley.com/documents/?uuid=49f7a3f0-2ac8-4dc8-b5c2-3d6bf6ba27e5"]}],"mendeley":{"formattedCitation":"(Abdullah, 2014)","plainTextFormattedCitation":"(Abdullah, 2014)","previouslyFormattedCitation":"(Abdullah, 2014)"},"properties":{"noteIndex":0},"schema":"https://github.com/citation-style-language/schema/raw/master/csl-citation.json"}</w:instrText>
      </w:r>
      <w:r w:rsidRPr="00C55B9C">
        <w:fldChar w:fldCharType="separate"/>
      </w:r>
      <w:r w:rsidRPr="00C55B9C">
        <w:rPr>
          <w:rFonts w:ascii="Palatino Linotype" w:hAnsi="Palatino Linotype" w:cs="Times New Roman"/>
          <w:sz w:val="24"/>
          <w:szCs w:val="24"/>
        </w:rPr>
        <w:t>(Abdullah, 2014)</w:t>
      </w:r>
      <w:r w:rsidRPr="00C55B9C">
        <w:fldChar w:fldCharType="end"/>
      </w:r>
      <w:r w:rsidR="00FE5443" w:rsidRPr="00C55B9C">
        <w:rPr>
          <w:rFonts w:ascii="Palatino Linotype" w:hAnsi="Palatino Linotype" w:cs="Times New Roman"/>
          <w:sz w:val="24"/>
          <w:szCs w:val="24"/>
        </w:rPr>
        <w:t>.</w:t>
      </w:r>
      <w:r w:rsidRPr="00C55B9C">
        <w:rPr>
          <w:rFonts w:ascii="Palatino Linotype" w:hAnsi="Palatino Linotype" w:cs="Times New Roman"/>
          <w:sz w:val="24"/>
          <w:szCs w:val="24"/>
        </w:rPr>
        <w:t xml:space="preserve"> Paradigma keilmuan monodisplin tidak mampu memecahkan persoalan komplek yang dihadapai oleh umat manusia, karena bersifat parsialistik, atomistic, hitam putih, dan menyederhanakan. Oleh karena itu, paradigma keilmuan yang selama ini terfragmantasi dalam kotak-kotak sempit suatu disiplin, harus keluar dan mengkaitkan diri dengan keilmuan-kelimuan lainya melalui proses integrasi interkoneksi. Dengan proses integrasi interkoneksi keilmuan, seorang ilmuwan ataupun seorang mujtahid ketika menjawab problem keumatan tidak terjebak pada satu persepektif (mono-disiplin), tetapi dapat melihat dari </w:t>
      </w:r>
      <w:r w:rsidRPr="00C55B9C">
        <w:rPr>
          <w:rFonts w:ascii="Palatino Linotype" w:hAnsi="Palatino Linotype" w:cs="Times New Roman"/>
          <w:sz w:val="24"/>
          <w:szCs w:val="24"/>
        </w:rPr>
        <w:lastRenderedPageBreak/>
        <w:t>berbagai sudut keilmuan yang beragam dan berbeda-beda (inter-dispilin,</w:t>
      </w:r>
      <w:r w:rsidR="00001A5F" w:rsidRPr="00C55B9C">
        <w:fldChar w:fldCharType="begin" w:fldLock="1"/>
      </w:r>
      <w:r w:rsidR="00173E91" w:rsidRPr="00C55B9C">
        <w:rPr>
          <w:rFonts w:ascii="Palatino Linotype" w:hAnsi="Palatino Linotype" w:cs="Times New Roman"/>
          <w:sz w:val="24"/>
          <w:szCs w:val="24"/>
        </w:rPr>
        <w:instrText>ADDIN CSL_CITATION {"citationItems":[{"id":"ITEM-1","itemData":{"ISBN":"9786026268815","author":[{"dropping-particle":"","family":"Abdullah","given":"M. Amin","non-dropping-particle":"","parse-names":false,"suffix":""}],"edition":"1","editor":[{"dropping-particle":"","family":"Azaki Khoirudin","given":"","non-dropping-particle":"","parse-names":false,"suffix":""}],"id":"ITEM-1","issued":{"date-parts":[["2019"]]},"number-of-pages":"1-226","publisher":"Suara Muhammadiyah","publisher-place":"Yogyakarta","title":"Fresh Ijtihad: Manhaj Pemikiran Keislaman Muhammadiyah di Era Disrupsi","type":"book"},"uris":["http://www.mendeley.com/documents/?uuid=fbda8bd1-1d0a-40e7-b5f2-7bc1183ebbc2"]}],"mendeley":{"formattedCitation":"(Abdullah, 2019)","manualFormatting":".","plainTextFormattedCitation":"(Abdullah, 2019)","previouslyFormattedCitation":"(Abdullah, 2019)"},"properties":{"noteIndex":0},"schema":"https://github.com/citation-style-language/schema/raw/master/csl-citation.json"}</w:instrText>
      </w:r>
      <w:r w:rsidR="00001A5F" w:rsidRPr="00C55B9C">
        <w:fldChar w:fldCharType="separate"/>
      </w:r>
      <w:r w:rsidR="00001A5F" w:rsidRPr="00C55B9C">
        <w:t>.</w:t>
      </w:r>
      <w:r w:rsidR="00001A5F" w:rsidRPr="00C55B9C">
        <w:fldChar w:fldCharType="end"/>
      </w:r>
      <w:r w:rsidRPr="00C55B9C">
        <w:rPr>
          <w:rFonts w:ascii="Palatino Linotype" w:hAnsi="Palatino Linotype" w:cs="Times New Roman"/>
          <w:sz w:val="24"/>
          <w:szCs w:val="24"/>
        </w:rPr>
        <w:t xml:space="preserve"> multi-dispilin, trans-disiplin)</w:t>
      </w:r>
      <w:r w:rsidR="00173E91" w:rsidRPr="00C55B9C">
        <w:rPr>
          <w:rFonts w:ascii="Palatino Linotype" w:hAnsi="Palatino Linotype" w:cs="Times New Roman"/>
          <w:sz w:val="24"/>
          <w:szCs w:val="24"/>
        </w:rPr>
        <w:t xml:space="preserve"> </w:t>
      </w:r>
      <w:r w:rsidR="00173E91" w:rsidRPr="00C55B9C">
        <w:rPr>
          <w:rFonts w:ascii="Palatino Linotype" w:hAnsi="Palatino Linotype" w:cs="Times New Roman"/>
          <w:sz w:val="24"/>
          <w:szCs w:val="24"/>
        </w:rPr>
        <w:fldChar w:fldCharType="begin" w:fldLock="1"/>
      </w:r>
      <w:r w:rsidR="00173E91" w:rsidRPr="00C55B9C">
        <w:rPr>
          <w:rFonts w:ascii="Palatino Linotype" w:hAnsi="Palatino Linotype" w:cs="Times New Roman"/>
          <w:sz w:val="24"/>
          <w:szCs w:val="24"/>
        </w:rPr>
        <w:instrText>ADDIN CSL_CITATION {"citationItems":[{"id":"ITEM-1","itemData":{"ISBN":"978-623-91744-2-2","author":[{"dropping-particle":"","family":"Abdullah","given":"M. Amin","non-dropping-particle":"","parse-names":false,"suffix":""}],"edition":"2","editor":[{"dropping-particle":"","family":"Khoirudin","given":"Azaki","non-dropping-particle":"","parse-names":false,"suffix":""}],"id":"ITEM-1","issued":{"date-parts":[["2020"]]},"publisher":"IB Pustaka","publisher-place":"Yogyakarta, Indonesia","title":"Multidisiplin, Interdisiplin, dan Transdisiplin: Metode Studi Agama dan Studi Islam di Era Kontemporer","type":"book"},"uris":["http://www.mendeley.com/documents/?uuid=aebf2980-43e5-4371-b6e1-892794f1084f"]}],"mendeley":{"formattedCitation":"(Abdullah, 2020)","plainTextFormattedCitation":"(Abdullah, 2020)","previouslyFormattedCitation":"(Abdullah, 2020)"},"properties":{"noteIndex":0},"schema":"https://github.com/citation-style-language/schema/raw/master/csl-citation.json"}</w:instrText>
      </w:r>
      <w:r w:rsidR="00173E91" w:rsidRPr="00C55B9C">
        <w:rPr>
          <w:rFonts w:ascii="Palatino Linotype" w:hAnsi="Palatino Linotype" w:cs="Times New Roman"/>
          <w:sz w:val="24"/>
          <w:szCs w:val="24"/>
        </w:rPr>
        <w:fldChar w:fldCharType="separate"/>
      </w:r>
      <w:r w:rsidR="00173E91" w:rsidRPr="00C55B9C">
        <w:rPr>
          <w:rFonts w:ascii="Palatino Linotype" w:hAnsi="Palatino Linotype" w:cs="Times New Roman"/>
          <w:sz w:val="24"/>
          <w:szCs w:val="24"/>
        </w:rPr>
        <w:t>(Abdullah, 2020)</w:t>
      </w:r>
      <w:r w:rsidR="00173E91" w:rsidRPr="00C55B9C">
        <w:rPr>
          <w:rFonts w:ascii="Palatino Linotype" w:hAnsi="Palatino Linotype" w:cs="Times New Roman"/>
          <w:sz w:val="24"/>
          <w:szCs w:val="24"/>
        </w:rPr>
        <w:fldChar w:fldCharType="end"/>
      </w:r>
      <w:r w:rsidRPr="00C55B9C">
        <w:rPr>
          <w:rFonts w:ascii="Palatino Linotype" w:hAnsi="Palatino Linotype" w:cs="Times New Roman"/>
          <w:sz w:val="24"/>
          <w:szCs w:val="24"/>
        </w:rPr>
        <w:t>. Keterkaitan dan keterhubungan keilmuan dalam Islam, digambarkan oleh M. Amin Abdullah seperti jaring laba-laba (spiderweb) (Gambar: 1), yang antara satu dengan lainya terkoneksi dan berlapis. Dalam perspketif  M. Amin Abdullah, bahwa tanpa melalui proses metodologi yang kompleks, berlapis (murakkabah), dan multi disiplin, pemikiran hokum Islam hanya akan mengulang-ulang diagnose lama (al-qira’ah mutakarrirah) terhadap kasus-kasus dan persoalan social-kultural dan ilmu pengetahuan baru, yang seringkali terapi dan fatwa yang dikeluarkan tidak tepat, tidak cocok, ugly, kadaluarsa, dan ketinggalan zaman</w:t>
      </w:r>
      <w:r w:rsidR="00A769E1">
        <w:rPr>
          <w:rFonts w:ascii="Palatino Linotype" w:hAnsi="Palatino Linotype" w:cs="Times New Roman"/>
          <w:sz w:val="24"/>
          <w:szCs w:val="24"/>
        </w:rPr>
        <w:t xml:space="preserve"> </w:t>
      </w:r>
      <w:r w:rsidRPr="00C55B9C">
        <w:fldChar w:fldCharType="begin" w:fldLock="1"/>
      </w:r>
      <w:r w:rsidRPr="00C55B9C">
        <w:rPr>
          <w:rFonts w:ascii="Palatino Linotype" w:hAnsi="Palatino Linotype" w:cs="Times New Roman"/>
          <w:sz w:val="24"/>
          <w:szCs w:val="24"/>
        </w:rPr>
        <w:instrText>ADDIN CSL_CITATION {"citationItems":[{"id":"ITEM-1","itemData":{"ISBN":"9786026268815","author":[{"dropping-particle":"","family":"Abdullah","given":"M. Amin","non-dropping-particle":"","parse-names":false,"suffix":""}],"edition":"1","editor":[{"dropping-particle":"","family":"Azaki Khoirudin","given":"","non-dropping-particle":"","parse-names":false,"suffix":""}],"id":"ITEM-1","issued":{"date-parts":[["2019"]]},"number-of-pages":"1-226","publisher":"Suara Muhammadiyah","publisher-place":"Yogyakarta","title":"Fresh Ijtihad: Manhaj Pemikiran Keislaman Muhammadiyah di Era Disrupsi","type":"book"},"uris":["http://www.mendeley.com/documents/?uuid=fbda8bd1-1d0a-40e7-b5f2-7bc1183ebbc2"]}],"mendeley":{"formattedCitation":"(Abdullah, 2019)","plainTextFormattedCitation":"(Abdullah, 2019)","previouslyFormattedCitation":"(Abdullah, 2019)"},"properties":{"noteIndex":0},"schema":"https://github.com/citation-style-language/schema/raw/master/csl-citation.json"}</w:instrText>
      </w:r>
      <w:r w:rsidRPr="00C55B9C">
        <w:fldChar w:fldCharType="separate"/>
      </w:r>
      <w:r w:rsidRPr="00C55B9C">
        <w:rPr>
          <w:rFonts w:ascii="Palatino Linotype" w:hAnsi="Palatino Linotype" w:cs="Times New Roman"/>
          <w:sz w:val="24"/>
          <w:szCs w:val="24"/>
        </w:rPr>
        <w:t>(Abdullah, 2019)</w:t>
      </w:r>
      <w:r w:rsidRPr="00C55B9C">
        <w:fldChar w:fldCharType="end"/>
      </w:r>
      <w:r w:rsidR="00A769E1">
        <w:t>.</w:t>
      </w:r>
    </w:p>
    <w:p w:rsidR="00D757DA" w:rsidRPr="00C55B9C" w:rsidRDefault="00D757DA" w:rsidP="00A769E1">
      <w:pPr>
        <w:widowControl w:val="0"/>
        <w:spacing w:after="120" w:line="240" w:lineRule="auto"/>
        <w:ind w:firstLine="567"/>
        <w:jc w:val="center"/>
        <w:rPr>
          <w:rFonts w:ascii="Palatino Linotype" w:hAnsi="Palatino Linotype" w:cs="Times New Roman"/>
          <w:sz w:val="24"/>
          <w:szCs w:val="24"/>
        </w:rPr>
      </w:pPr>
      <w:r w:rsidRPr="00C55B9C">
        <w:rPr>
          <w:rFonts w:ascii="Palatino Linotype" w:hAnsi="Palatino Linotype"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8.5pt;height:162.75pt">
            <v:imagedata r:id="rId9" o:title="sentralkeilmuan (1)"/>
          </v:shape>
        </w:pict>
      </w:r>
    </w:p>
    <w:p w:rsidR="00D757DA" w:rsidRPr="00C55B9C" w:rsidRDefault="00D757DA" w:rsidP="00A769E1">
      <w:pPr>
        <w:widowControl w:val="0"/>
        <w:spacing w:after="120" w:line="240" w:lineRule="auto"/>
        <w:ind w:firstLine="567"/>
        <w:jc w:val="center"/>
        <w:rPr>
          <w:rFonts w:ascii="Palatino Linotype" w:hAnsi="Palatino Linotype" w:cs="Times New Roman"/>
          <w:sz w:val="24"/>
          <w:szCs w:val="24"/>
        </w:rPr>
      </w:pPr>
      <w:r w:rsidRPr="00C55B9C">
        <w:rPr>
          <w:rFonts w:ascii="Palatino Linotype" w:hAnsi="Palatino Linotype" w:cs="Times New Roman"/>
          <w:sz w:val="24"/>
          <w:szCs w:val="24"/>
        </w:rPr>
        <w:t>Gambar 1: Jaring Laba-laba Keilmuan</w:t>
      </w:r>
      <w:r w:rsidRPr="00C55B9C">
        <w:fldChar w:fldCharType="begin" w:fldLock="1"/>
      </w:r>
      <w:r w:rsidRPr="00C55B9C">
        <w:rPr>
          <w:rFonts w:ascii="Palatino Linotype" w:hAnsi="Palatino Linotype" w:cs="Times New Roman"/>
          <w:sz w:val="24"/>
          <w:szCs w:val="24"/>
        </w:rPr>
        <w:instrText>ADDIN CSL_CITATION {"citationItems":[{"id":"ITEM-1","itemData":{"author":[{"dropping-particle":"","family":"Abdullah","given":"M. Amin","non-dropping-particle":"","parse-names":false,"suffix":""}],"edition":"1","id":"ITEM-1","issued":{"date-parts":[["2006"]]},"publisher":"Pustaka Pelajar","publisher-place":"Yogykarta","title":"Islamic Studies di Perguruan Tinggi: Paradigma Integratif-Interkonektif","type":"book"},"uris":["http://www.mendeley.com/documents/?uuid=129d2d8b-9c3d-44b8-9ead-7ed6b5357cd5"]}],"mendeley":{"formattedCitation":"(Abdullah, 2006)","plainTextFormattedCitation":"(Abdullah, 2006)","previouslyFormattedCitation":"(Abdullah, 2006)"},"properties":{"noteIndex":0},"schema":"https://github.com/citation-style-language/schema/raw/master/csl-citation.json"}</w:instrText>
      </w:r>
      <w:r w:rsidRPr="00C55B9C">
        <w:fldChar w:fldCharType="separate"/>
      </w:r>
      <w:r w:rsidRPr="00C55B9C">
        <w:rPr>
          <w:rFonts w:ascii="Palatino Linotype" w:hAnsi="Palatino Linotype" w:cs="Times New Roman"/>
          <w:sz w:val="24"/>
          <w:szCs w:val="24"/>
        </w:rPr>
        <w:t>(Abdullah, 2006)</w:t>
      </w:r>
      <w:r w:rsidRPr="00C55B9C">
        <w:fldChar w:fldCharType="end"/>
      </w:r>
    </w:p>
    <w:p w:rsidR="00D757DA" w:rsidRPr="00C55B9C" w:rsidRDefault="00D757DA" w:rsidP="00C55B9C">
      <w:pPr>
        <w:widowControl w:val="0"/>
        <w:spacing w:after="120" w:line="240" w:lineRule="auto"/>
        <w:ind w:firstLine="567"/>
        <w:jc w:val="both"/>
        <w:rPr>
          <w:rFonts w:ascii="Palatino Linotype" w:hAnsi="Palatino Linotype" w:cs="Times New Roman"/>
          <w:sz w:val="24"/>
          <w:szCs w:val="24"/>
        </w:rPr>
      </w:pPr>
      <w:r w:rsidRPr="00C55B9C">
        <w:rPr>
          <w:rFonts w:ascii="Palatino Linotype" w:hAnsi="Palatino Linotype" w:cs="Times New Roman"/>
          <w:sz w:val="24"/>
          <w:szCs w:val="24"/>
        </w:rPr>
        <w:t>Tawaran metodologi dan pendekatan integrasi-interkoneksi, telah banyak dielaborasi oleh para ilmuwan dan diterapkan dalam berbagai studi dan bahkan menjadi kerangka pengembangan keilmuan di perguruan tinggi Islam Indonesia saat ini.</w:t>
      </w:r>
      <w:r w:rsidRPr="00C55B9C">
        <w:fldChar w:fldCharType="begin" w:fldLock="1"/>
      </w:r>
      <w:r w:rsidRPr="00C55B9C">
        <w:rPr>
          <w:rFonts w:ascii="Palatino Linotype" w:hAnsi="Palatino Linotype" w:cs="Times New Roman"/>
          <w:sz w:val="24"/>
          <w:szCs w:val="24"/>
        </w:rPr>
        <w:instrText>ADDIN CSL_CITATION {"citationItems":[{"id":"ITEM-1","itemData":{"author":[{"dropping-particle":"","family":"Fitri","given":"Agus Zaenul","non-dropping-particle":"","parse-names":false,"suffix":""}],"edition":"1","id":"ITEM-1","issued":{"date-parts":[["2020"]]},"publisher":"IAIN Tulungagung Press","publisher-place":"Tulungagung, Jawa Timur","title":"Integrasi Pengembangan Keilmuan di Perguruan Tinggi Keagamaan Islam","type":"book"},"uris":["http://www.mendeley.com/documents/?uuid=460bf58b-cd93-4c5e-a12f-dd20736963b2"]}],"mendeley":{"formattedCitation":"(Fitri, 2020)","plainTextFormattedCitation":"(Fitri, 2020)","previouslyFormattedCitation":"(Fitri, 2020)"},"properties":{"noteIndex":0},"schema":"https://github.com/citation-style-language/schema/raw/master/csl-citation.json"}</w:instrText>
      </w:r>
      <w:r w:rsidRPr="00C55B9C">
        <w:fldChar w:fldCharType="separate"/>
      </w:r>
      <w:r w:rsidRPr="00C55B9C">
        <w:rPr>
          <w:rFonts w:ascii="Palatino Linotype" w:hAnsi="Palatino Linotype" w:cs="Times New Roman"/>
          <w:sz w:val="24"/>
          <w:szCs w:val="24"/>
        </w:rPr>
        <w:t>(Fitri, 2020)</w:t>
      </w:r>
      <w:r w:rsidRPr="00C55B9C">
        <w:fldChar w:fldCharType="end"/>
      </w:r>
      <w:r w:rsidRPr="00C55B9C">
        <w:rPr>
          <w:rFonts w:ascii="Palatino Linotype" w:hAnsi="Palatino Linotype" w:cs="Times New Roman"/>
          <w:sz w:val="24"/>
          <w:szCs w:val="24"/>
        </w:rPr>
        <w:t>Aplikasi metodologi ini telah diuji-coba dan diimplimentasikan oleh para ilmuwan studi Islam dalam berbagai disiplin, mislanya, Hamim Ilyas</w:t>
      </w:r>
      <w:r w:rsidR="00173E91" w:rsidRPr="00C55B9C">
        <w:rPr>
          <w:rFonts w:ascii="Palatino Linotype" w:hAnsi="Palatino Linotype" w:cs="Times New Roman"/>
          <w:sz w:val="24"/>
          <w:szCs w:val="24"/>
        </w:rPr>
        <w:t>,</w:t>
      </w:r>
      <w:r w:rsidRPr="00C55B9C">
        <w:rPr>
          <w:rFonts w:ascii="Palatino Linotype" w:hAnsi="Palatino Linotype" w:cs="Times New Roman"/>
          <w:sz w:val="24"/>
          <w:szCs w:val="24"/>
        </w:rPr>
        <w:t xml:space="preserve"> Suparmin dan Toto Suharto</w:t>
      </w:r>
      <w:r w:rsidR="00173E91" w:rsidRPr="00C55B9C">
        <w:rPr>
          <w:rFonts w:ascii="Palatino Linotype" w:hAnsi="Palatino Linotype" w:cs="Times New Roman"/>
          <w:sz w:val="24"/>
          <w:szCs w:val="24"/>
        </w:rPr>
        <w:t xml:space="preserve"> </w:t>
      </w:r>
      <w:r w:rsidRPr="00C55B9C">
        <w:rPr>
          <w:rFonts w:ascii="Palatino Linotype" w:hAnsi="Palatino Linotype" w:cs="Times New Roman"/>
          <w:sz w:val="24"/>
          <w:szCs w:val="24"/>
        </w:rPr>
        <w:t xml:space="preserve"> menggunakannya dalam kajian Alqur’an</w:t>
      </w:r>
      <w:r w:rsidR="00173E91" w:rsidRPr="00C55B9C">
        <w:rPr>
          <w:rFonts w:ascii="Palatino Linotype" w:hAnsi="Palatino Linotype" w:cs="Times New Roman"/>
          <w:sz w:val="24"/>
          <w:szCs w:val="24"/>
        </w:rPr>
        <w:t xml:space="preserve"> </w:t>
      </w:r>
      <w:r w:rsidR="00173E91" w:rsidRPr="00C55B9C">
        <w:rPr>
          <w:rFonts w:ascii="Palatino Linotype" w:hAnsi="Palatino Linotype" w:cs="Times New Roman"/>
          <w:sz w:val="24"/>
          <w:szCs w:val="24"/>
        </w:rPr>
        <w:fldChar w:fldCharType="begin" w:fldLock="1"/>
      </w:r>
      <w:r w:rsidR="00C917E7" w:rsidRPr="00C55B9C">
        <w:rPr>
          <w:rFonts w:ascii="Palatino Linotype" w:hAnsi="Palatino Linotype" w:cs="Times New Roman"/>
          <w:sz w:val="24"/>
          <w:szCs w:val="24"/>
        </w:rPr>
        <w:instrText>ADDIN CSL_CITATION {"citationItems":[{"id":"ITEM-1","itemData":{"author":[{"dropping-particle":"","family":"Ilyas","given":"Hamim","non-dropping-particle":"","parse-names":false,"suffix":""}],"container-title":"Praksis Paradigma Integrasi-Interkoneksi dan Transformasi Islamic Studies di UIN Sunan Kalijaga","edition":"1","id":"ITEM-1","issued":{"date-parts":[["2014"]]},"page":"79-105","publisher":"Pascasarjana UIN Sunan Kalijaga Yogyakarta","publisher-place":"Yogyakarta, Indonesia","title":"Pengembangan Integrasi-Interkoneksi Dalam Ilmu-Ilmu Agama Islam: Al-Qur’an Kitab Rahmat Paradigma Tafsir Otentik","type":"chapter"},"uris":["http://www.mendeley.com/documents/?uuid=31319d8a-d1b4-42ab-84fe-6641d14e8707"]},{"id":"ITEM-2","itemData":{"author":[{"dropping-particle":"","family":"Suparmin","given":"","non-dropping-particle":"","parse-names":false,"suffix":""},{"dropping-particle":"","family":"Suharto","given":"Toto","non-dropping-particle":"","parse-names":false,"suffix":""}],"edition":"1","id":"ITEM-2","issued":{"date-parts":[["2013"]]},"publisher":"Fataba Press","publisher-place":"Surakarta, Jawa tengah","title":"Ayat-Ayat Al-Qur’an Tentang Rumpun Ilmu Agama: Perspektif Epistemologi Integrasi-interkoneksi","type":"book"},"uris":["http://www.mendeley.com/documents/?uuid=ec8c940f-6e6f-4cbf-8901-7bf9df749277"]}],"mendeley":{"formattedCitation":"(Ilyas, 2014; Suparmin &amp; Suharto, 2013)","plainTextFormattedCitation":"(Ilyas, 2014; Suparmin &amp; Suharto, 2013)","previouslyFormattedCitation":"(Ilyas, 2014; Suparmin &amp; Suharto, 2013)"},"properties":{"noteIndex":0},"schema":"https://github.com/citation-style-language/schema/raw/master/csl-citation.json"}</w:instrText>
      </w:r>
      <w:r w:rsidR="00173E91" w:rsidRPr="00C55B9C">
        <w:rPr>
          <w:rFonts w:ascii="Palatino Linotype" w:hAnsi="Palatino Linotype" w:cs="Times New Roman"/>
          <w:sz w:val="24"/>
          <w:szCs w:val="24"/>
        </w:rPr>
        <w:fldChar w:fldCharType="separate"/>
      </w:r>
      <w:r w:rsidR="00173E91" w:rsidRPr="00C55B9C">
        <w:rPr>
          <w:rFonts w:ascii="Palatino Linotype" w:hAnsi="Palatino Linotype" w:cs="Times New Roman"/>
          <w:sz w:val="24"/>
          <w:szCs w:val="24"/>
        </w:rPr>
        <w:t>(Ilyas, 2014; Suparmin &amp; Suharto, 2013)</w:t>
      </w:r>
      <w:r w:rsidR="00173E91" w:rsidRPr="00C55B9C">
        <w:rPr>
          <w:rFonts w:ascii="Palatino Linotype" w:hAnsi="Palatino Linotype" w:cs="Times New Roman"/>
          <w:sz w:val="24"/>
          <w:szCs w:val="24"/>
        </w:rPr>
        <w:fldChar w:fldCharType="end"/>
      </w:r>
      <w:r w:rsidRPr="00C55B9C">
        <w:rPr>
          <w:rFonts w:ascii="Palatino Linotype" w:hAnsi="Palatino Linotype" w:cs="Times New Roman"/>
          <w:sz w:val="24"/>
          <w:szCs w:val="24"/>
        </w:rPr>
        <w:t>, Watni Marpaung dalam studi Hadis</w:t>
      </w:r>
      <w:r w:rsidR="00173E91" w:rsidRPr="00C55B9C">
        <w:rPr>
          <w:rFonts w:ascii="Palatino Linotype" w:hAnsi="Palatino Linotype" w:cs="Times New Roman"/>
          <w:sz w:val="24"/>
          <w:szCs w:val="24"/>
        </w:rPr>
        <w:t xml:space="preserve"> </w:t>
      </w:r>
      <w:r w:rsidRPr="00C55B9C">
        <w:fldChar w:fldCharType="begin" w:fldLock="1"/>
      </w:r>
      <w:r w:rsidRPr="00C55B9C">
        <w:rPr>
          <w:rFonts w:ascii="Palatino Linotype" w:hAnsi="Palatino Linotype" w:cs="Times New Roman"/>
          <w:sz w:val="24"/>
          <w:szCs w:val="24"/>
        </w:rPr>
        <w:instrText>ADDIN CSL_CITATION {"citationItems":[{"id":"ITEM-1","itemData":{"author":[{"dropping-particle":"","family":"Marpaung","given":"Watni","non-dropping-particle":"","parse-names":false,"suffix":""}],"edition":"1","editor":[{"dropping-particle":"","family":"Hayati","given":"Fitri","non-dropping-particle":"","parse-names":false,"suffix":""}],"id":"ITEM-1","issued":{"date-parts":[["2020"]]},"publisher":"Kencana","publisher-place":"Jakarta, Indonesia","title":"Pengantar Hadis-Hadis Kesehatan Studi Pendekatan Integrasi","type":"book"},"uris":["http://www.mendeley.com/documents/?uuid=836c2eaf-1a93-4c08-a81e-1ec773d9d3c0"]}],"mendeley":{"formattedCitation":"(Marpaung, 2020)","plainTextFormattedCitation":"(Marpaung, 2020)","previouslyFormattedCitation":"(Marpaung, 2020)"},"properties":{"noteIndex":0},"schema":"https://github.com/citation-style-language/schema/raw/master/csl-citation.json"}</w:instrText>
      </w:r>
      <w:r w:rsidRPr="00C55B9C">
        <w:fldChar w:fldCharType="separate"/>
      </w:r>
      <w:r w:rsidRPr="00C55B9C">
        <w:rPr>
          <w:rFonts w:ascii="Palatino Linotype" w:hAnsi="Palatino Linotype" w:cs="Times New Roman"/>
          <w:sz w:val="24"/>
          <w:szCs w:val="24"/>
        </w:rPr>
        <w:t>(Marpaung, 2020)</w:t>
      </w:r>
      <w:r w:rsidRPr="00C55B9C">
        <w:fldChar w:fldCharType="end"/>
      </w:r>
      <w:r w:rsidR="00173E91" w:rsidRPr="00C55B9C">
        <w:rPr>
          <w:rFonts w:ascii="Palatino Linotype" w:hAnsi="Palatino Linotype" w:cs="Times New Roman"/>
          <w:sz w:val="24"/>
          <w:szCs w:val="24"/>
        </w:rPr>
        <w:t>,</w:t>
      </w:r>
      <w:r w:rsidRPr="00C55B9C">
        <w:rPr>
          <w:rFonts w:ascii="Palatino Linotype" w:hAnsi="Palatino Linotype" w:cs="Times New Roman"/>
          <w:sz w:val="24"/>
          <w:szCs w:val="24"/>
        </w:rPr>
        <w:t xml:space="preserve"> Muhammad Qosim dalam moderasi keagamaan</w:t>
      </w:r>
      <w:r w:rsidR="00173E91" w:rsidRPr="00C55B9C">
        <w:rPr>
          <w:rFonts w:ascii="Palatino Linotype" w:hAnsi="Palatino Linotype" w:cs="Times New Roman"/>
          <w:sz w:val="24"/>
          <w:szCs w:val="24"/>
        </w:rPr>
        <w:t xml:space="preserve"> </w:t>
      </w:r>
      <w:r w:rsidRPr="00C55B9C">
        <w:fldChar w:fldCharType="begin" w:fldLock="1"/>
      </w:r>
      <w:r w:rsidRPr="00C55B9C">
        <w:rPr>
          <w:rFonts w:ascii="Palatino Linotype" w:hAnsi="Palatino Linotype" w:cs="Times New Roman"/>
          <w:sz w:val="24"/>
          <w:szCs w:val="24"/>
        </w:rPr>
        <w:instrText>ADDIN CSL_CITATION {"citationItems":[{"id":"ITEM-1","itemData":{"author":[{"dropping-particle":"","family":"Qasim","given":"Muhammad","non-dropping-particle":"","parse-names":false,"suffix":""}],"edition":"1","editor":[{"dropping-particle":"","family":"Ichiana","given":"Nidya Nia","non-dropping-particle":"","parse-names":false,"suffix":""}],"id":"ITEM-1","issued":{"date-parts":[["2020"]]},"publisher":"Alauddin University Press","publisher-place":"Makasar, Indonesia","title":"Membangun Moderasi Beragama Umat Melalui Integrasi Keilmuan","type":"book"},"uris":["http://www.mendeley.com/documents/?uuid=496c8d30-e0d9-4f13-81f1-cf7cf3f33040"]}],"mendeley":{"formattedCitation":"(Qasim, 2020)","plainTextFormattedCitation":"(Qasim, 2020)","previouslyFormattedCitation":"(Qasim, 2020)"},"properties":{"noteIndex":0},"schema":"https://github.com/citation-style-language/schema/raw/master/csl-citation.json"}</w:instrText>
      </w:r>
      <w:r w:rsidRPr="00C55B9C">
        <w:fldChar w:fldCharType="separate"/>
      </w:r>
      <w:r w:rsidRPr="00C55B9C">
        <w:rPr>
          <w:rFonts w:ascii="Palatino Linotype" w:hAnsi="Palatino Linotype" w:cs="Times New Roman"/>
          <w:sz w:val="24"/>
          <w:szCs w:val="24"/>
        </w:rPr>
        <w:t>(Qasim, 2020)</w:t>
      </w:r>
      <w:r w:rsidRPr="00C55B9C">
        <w:fldChar w:fldCharType="end"/>
      </w:r>
      <w:r w:rsidR="00173E91" w:rsidRPr="00C55B9C">
        <w:rPr>
          <w:rFonts w:ascii="Palatino Linotype" w:hAnsi="Palatino Linotype" w:cs="Times New Roman"/>
          <w:sz w:val="24"/>
          <w:szCs w:val="24"/>
        </w:rPr>
        <w:t>,</w:t>
      </w:r>
      <w:r w:rsidRPr="00C55B9C">
        <w:rPr>
          <w:rFonts w:ascii="Palatino Linotype" w:hAnsi="Palatino Linotype" w:cs="Times New Roman"/>
          <w:sz w:val="24"/>
          <w:szCs w:val="24"/>
        </w:rPr>
        <w:t xml:space="preserve"> Achmad Khudhori Soleh dalam sains dan agama</w:t>
      </w:r>
      <w:r w:rsidR="00173E91" w:rsidRPr="00C55B9C">
        <w:rPr>
          <w:rFonts w:ascii="Palatino Linotype" w:hAnsi="Palatino Linotype" w:cs="Times New Roman"/>
          <w:sz w:val="24"/>
          <w:szCs w:val="24"/>
        </w:rPr>
        <w:t xml:space="preserve"> </w:t>
      </w:r>
      <w:r w:rsidRPr="00C55B9C">
        <w:fldChar w:fldCharType="begin" w:fldLock="1"/>
      </w:r>
      <w:r w:rsidRPr="00C55B9C">
        <w:rPr>
          <w:rFonts w:ascii="Palatino Linotype" w:hAnsi="Palatino Linotype" w:cs="Times New Roman"/>
          <w:sz w:val="24"/>
          <w:szCs w:val="24"/>
        </w:rPr>
        <w:instrText>ADDIN CSL_CITATION {"citationItems":[{"id":"ITEM-1","itemData":{"author":[{"dropping-particle":"","family":"Soleh","given":"Achmad Khudori","non-dropping-particle":"","parse-names":false,"suffix":""}],"edition":"1","editor":[{"dropping-particle":"","family":"Rahmawati","given":"Erik Sabti","non-dropping-particle":"","parse-names":false,"suffix":""}],"id":"ITEM-1","issued":{"date-parts":[["2020"]]},"publisher":"UIN-Maliki Press","publisher-place":"Malang, Jawa Timur, Indonesia","title":"Integrasi Quantum Agama Dan Sains","type":"book"},"uris":["http://www.mendeley.com/documents/?uuid=a5c14cbc-2b9a-4474-8b36-dff47650486a"]}],"mendeley":{"formattedCitation":"(Soleh, 2020)","plainTextFormattedCitation":"(Soleh, 2020)","previouslyFormattedCitation":"(Soleh, 2020)"},"properties":{"noteIndex":0},"schema":"https://github.com/citation-style-language/schema/raw/master/csl-citation.json"}</w:instrText>
      </w:r>
      <w:r w:rsidRPr="00C55B9C">
        <w:fldChar w:fldCharType="separate"/>
      </w:r>
      <w:r w:rsidRPr="00C55B9C">
        <w:rPr>
          <w:rFonts w:ascii="Palatino Linotype" w:hAnsi="Palatino Linotype" w:cs="Times New Roman"/>
          <w:sz w:val="24"/>
          <w:szCs w:val="24"/>
        </w:rPr>
        <w:t>(Soleh, 2020)</w:t>
      </w:r>
      <w:r w:rsidRPr="00C55B9C">
        <w:fldChar w:fldCharType="end"/>
      </w:r>
      <w:r w:rsidR="00173E91" w:rsidRPr="00C55B9C">
        <w:rPr>
          <w:rFonts w:ascii="Palatino Linotype" w:hAnsi="Palatino Linotype" w:cs="Times New Roman"/>
          <w:sz w:val="24"/>
          <w:szCs w:val="24"/>
        </w:rPr>
        <w:t>,</w:t>
      </w:r>
      <w:r w:rsidRPr="00C55B9C">
        <w:rPr>
          <w:rFonts w:ascii="Palatino Linotype" w:hAnsi="Palatino Linotype" w:cs="Times New Roman"/>
          <w:sz w:val="24"/>
          <w:szCs w:val="24"/>
        </w:rPr>
        <w:t xml:space="preserve"> Waryani Fajar Riyanto dalam kajian riset disertasi</w:t>
      </w:r>
      <w:r w:rsidR="00173E91" w:rsidRPr="00C55B9C">
        <w:rPr>
          <w:rFonts w:ascii="Palatino Linotype" w:hAnsi="Palatino Linotype" w:cs="Times New Roman"/>
          <w:sz w:val="24"/>
          <w:szCs w:val="24"/>
        </w:rPr>
        <w:t xml:space="preserve"> </w:t>
      </w:r>
      <w:r w:rsidRPr="00C55B9C">
        <w:fldChar w:fldCharType="begin" w:fldLock="1"/>
      </w:r>
      <w:r w:rsidRPr="00C55B9C">
        <w:rPr>
          <w:rFonts w:ascii="Palatino Linotype" w:hAnsi="Palatino Linotype" w:cs="Times New Roman"/>
          <w:sz w:val="24"/>
          <w:szCs w:val="24"/>
        </w:rPr>
        <w:instrText>ADDIN CSL_CITATION {"citationItems":[{"id":"ITEM-1","itemData":{"author":[{"dropping-particle":"","family":"Riyanto","given":"Waryani Fajar","non-dropping-particle":"","parse-names":false,"suffix":""}],"edition":"1","editor":[{"dropping-particle":"","family":"Idris","given":"Mardjoko","non-dropping-particle":"","parse-names":false,"suffix":""}],"id":"ITEM-1","issued":{"date-parts":[["2012"]]},"publisher":"Lemlit UIN Sunan Kalijaga Yogykarta","publisher-place":"Yogyakarta, Indonesia","title":"Implementasi Paradigma Integrasi-Interkoneksi dalam Penelitian 3 (tiga) Disertasi Dosen UIN Sunan Kalijaga","type":"book"},"uris":["http://www.mendeley.com/documents/?uuid=7fc968d6-3902-40fd-9190-db90d598c9d8"]}],"mendeley":{"formattedCitation":"(Riyanto, 2012)","plainTextFormattedCitation":"(Riyanto, 2012)","previouslyFormattedCitation":"(Riyanto, 2012)"},"properties":{"noteIndex":0},"schema":"https://github.com/citation-style-language/schema/raw/master/csl-citation.json"}</w:instrText>
      </w:r>
      <w:r w:rsidRPr="00C55B9C">
        <w:fldChar w:fldCharType="separate"/>
      </w:r>
      <w:r w:rsidRPr="00C55B9C">
        <w:rPr>
          <w:rFonts w:ascii="Palatino Linotype" w:hAnsi="Palatino Linotype" w:cs="Times New Roman"/>
          <w:sz w:val="24"/>
          <w:szCs w:val="24"/>
        </w:rPr>
        <w:t>(Riyanto, 2012)</w:t>
      </w:r>
      <w:r w:rsidRPr="00C55B9C">
        <w:fldChar w:fldCharType="end"/>
      </w:r>
      <w:r w:rsidR="00173E91" w:rsidRPr="00C55B9C">
        <w:rPr>
          <w:rFonts w:ascii="Palatino Linotype" w:hAnsi="Palatino Linotype" w:cs="Times New Roman"/>
          <w:sz w:val="24"/>
          <w:szCs w:val="24"/>
        </w:rPr>
        <w:t>,</w:t>
      </w:r>
      <w:r w:rsidRPr="00C55B9C">
        <w:rPr>
          <w:rFonts w:ascii="Palatino Linotype" w:hAnsi="Palatino Linotype" w:cs="Times New Roman"/>
          <w:sz w:val="24"/>
          <w:szCs w:val="24"/>
        </w:rPr>
        <w:t xml:space="preserve"> Musa Asy’arie</w:t>
      </w:r>
      <w:r w:rsidR="00173E91" w:rsidRPr="00C55B9C">
        <w:rPr>
          <w:rFonts w:ascii="Palatino Linotype" w:hAnsi="Palatino Linotype" w:cs="Times New Roman"/>
          <w:sz w:val="24"/>
          <w:szCs w:val="24"/>
        </w:rPr>
        <w:t xml:space="preserve"> </w:t>
      </w:r>
      <w:r w:rsidRPr="00C55B9C">
        <w:rPr>
          <w:rFonts w:ascii="Palatino Linotype" w:hAnsi="Palatino Linotype" w:cs="Times New Roman"/>
          <w:sz w:val="24"/>
          <w:szCs w:val="24"/>
        </w:rPr>
        <w:t>dalam kajian filsafat Islam</w:t>
      </w:r>
      <w:r w:rsidR="00173E91" w:rsidRPr="00C55B9C">
        <w:rPr>
          <w:rFonts w:ascii="Palatino Linotype" w:hAnsi="Palatino Linotype" w:cs="Times New Roman"/>
          <w:sz w:val="24"/>
          <w:szCs w:val="24"/>
        </w:rPr>
        <w:t xml:space="preserve"> </w:t>
      </w:r>
      <w:r w:rsidR="00173E91" w:rsidRPr="00C55B9C">
        <w:fldChar w:fldCharType="begin" w:fldLock="1"/>
      </w:r>
      <w:r w:rsidR="00173E91" w:rsidRPr="00C55B9C">
        <w:rPr>
          <w:rFonts w:ascii="Palatino Linotype" w:hAnsi="Palatino Linotype" w:cs="Times New Roman"/>
          <w:sz w:val="24"/>
          <w:szCs w:val="24"/>
        </w:rPr>
        <w:instrText>ADDIN CSL_CITATION {"citationItems":[{"id":"ITEM-1","itemData":{"author":[{"dropping-particle":"","family":"Asy’arie","given":"Musa","non-dropping-particle":"","parse-names":false,"suffix":""}],"container-title":"Praksis Paradigma Integrasi-Interkoneksi dan Transformasi Islamic Studies di UIN Sunan Kalijaga","edition":"1","id":"ITEM-1","issued":{"date-parts":[["2014"]]},"page":"57-62","publisher":"Pascasarjana UIN Sunan Kalijaga Yogyakarta","publisher-place":"Yogyakarta, Indonesia","title":"Paradigma Integrasi Dan Interkoneksi Dalam Perspektif Filsafat Islam","type":"chapter"},"uris":["http://www.mendeley.com/documents/?uuid=2cd3d42e-4da6-4c19-bc65-fb387cc1ebad"]}],"mendeley":{"formattedCitation":"(Asy’arie, 2014)","plainTextFormattedCitation":"(Asy’arie, 2014)","previouslyFormattedCitation":"(Asy’arie, 2014)"},"properties":{"noteIndex":0},"schema":"https://github.com/citation-style-language/schema/raw/master/csl-citation.json"}</w:instrText>
      </w:r>
      <w:r w:rsidR="00173E91" w:rsidRPr="00C55B9C">
        <w:fldChar w:fldCharType="separate"/>
      </w:r>
      <w:r w:rsidR="00173E91" w:rsidRPr="00C55B9C">
        <w:rPr>
          <w:rFonts w:ascii="Palatino Linotype" w:hAnsi="Palatino Linotype" w:cs="Times New Roman"/>
          <w:sz w:val="24"/>
          <w:szCs w:val="24"/>
        </w:rPr>
        <w:t>(Asy’arie, 2014)</w:t>
      </w:r>
      <w:r w:rsidR="00173E91" w:rsidRPr="00C55B9C">
        <w:fldChar w:fldCharType="end"/>
      </w:r>
      <w:r w:rsidRPr="00C55B9C">
        <w:rPr>
          <w:rFonts w:ascii="Palatino Linotype" w:hAnsi="Palatino Linotype" w:cs="Times New Roman"/>
          <w:sz w:val="24"/>
          <w:szCs w:val="24"/>
        </w:rPr>
        <w:t>, Machasin dalam kajian pendidikan Islam Indonesia</w:t>
      </w:r>
      <w:r w:rsidR="00173E91" w:rsidRPr="00C55B9C">
        <w:rPr>
          <w:rFonts w:ascii="Palatino Linotype" w:hAnsi="Palatino Linotype" w:cs="Times New Roman"/>
          <w:sz w:val="24"/>
          <w:szCs w:val="24"/>
        </w:rPr>
        <w:t xml:space="preserve"> </w:t>
      </w:r>
      <w:r w:rsidR="00173E91" w:rsidRPr="00C55B9C">
        <w:fldChar w:fldCharType="begin" w:fldLock="1"/>
      </w:r>
      <w:r w:rsidR="00173E91" w:rsidRPr="00C55B9C">
        <w:rPr>
          <w:rFonts w:ascii="Palatino Linotype" w:hAnsi="Palatino Linotype" w:cs="Times New Roman"/>
          <w:sz w:val="24"/>
          <w:szCs w:val="24"/>
        </w:rPr>
        <w:instrText>ADDIN CSL_CITATION {"citationItems":[{"id":"ITEM-1","itemData":{"author":[{"dropping-particle":"","family":"Machasin","given":"","non-dropping-particle":"","parse-names":false,"suffix":""}],"edition":"1","id":"ITEM-1","issued":{"date-parts":[["2014"]]},"number-of-pages":"47-56","publisher":"Pascasarjana UIN Sunan Kalijaga Yogyakarta","publisher-place":"Yogyakarta, Indonesia","title":"Fisibilitas Integrasi-Interkoneksi Dalam Pendidikan Dan Kajian Islam Di Indonesia","type":"book"},"uris":["http://www.mendeley.com/documents/?uuid=9af4e842-f1c5-4289-aa83-0ae526795a86"]}],"mendeley":{"formattedCitation":"(Machasin, 2014)","plainTextFormattedCitation":"(Machasin, 2014)","previouslyFormattedCitation":"(Machasin, 2014)"},"properties":{"noteIndex":0},"schema":"https://github.com/citation-style-language/schema/raw/master/csl-citation.json"}</w:instrText>
      </w:r>
      <w:r w:rsidR="00173E91" w:rsidRPr="00C55B9C">
        <w:fldChar w:fldCharType="separate"/>
      </w:r>
      <w:r w:rsidR="00173E91" w:rsidRPr="00C55B9C">
        <w:rPr>
          <w:rFonts w:ascii="Palatino Linotype" w:hAnsi="Palatino Linotype" w:cs="Times New Roman"/>
          <w:sz w:val="24"/>
          <w:szCs w:val="24"/>
        </w:rPr>
        <w:t>(Machasin, 2014)</w:t>
      </w:r>
      <w:r w:rsidR="00173E91" w:rsidRPr="00C55B9C">
        <w:fldChar w:fldCharType="end"/>
      </w:r>
      <w:r w:rsidRPr="00C55B9C">
        <w:rPr>
          <w:rFonts w:ascii="Palatino Linotype" w:hAnsi="Palatino Linotype" w:cs="Times New Roman"/>
          <w:sz w:val="24"/>
          <w:szCs w:val="24"/>
        </w:rPr>
        <w:t>, Khoiruddin Nasution dalam pengembangan pendidikan Tinggi</w:t>
      </w:r>
      <w:r w:rsidR="00173E91" w:rsidRPr="00C55B9C">
        <w:rPr>
          <w:rFonts w:ascii="Palatino Linotype" w:hAnsi="Palatino Linotype" w:cs="Times New Roman"/>
          <w:sz w:val="24"/>
          <w:szCs w:val="24"/>
        </w:rPr>
        <w:t xml:space="preserve"> </w:t>
      </w:r>
      <w:r w:rsidR="00173E91" w:rsidRPr="00C55B9C">
        <w:fldChar w:fldCharType="begin" w:fldLock="1"/>
      </w:r>
      <w:r w:rsidR="00173E91" w:rsidRPr="00C55B9C">
        <w:rPr>
          <w:rFonts w:ascii="Palatino Linotype" w:hAnsi="Palatino Linotype" w:cs="Times New Roman"/>
          <w:sz w:val="24"/>
          <w:szCs w:val="24"/>
        </w:rPr>
        <w:instrText>ADDIN CSL_CITATION {"citationItems":[{"id":"ITEM-1","itemData":{"author":[{"dropping-particle":"","family":"Nasution","given":"Khoiruddin","non-dropping-particle":"","parse-names":false,"suffix":""}],"container-title":"Praksis Paradigma Integrasi-Interkoneksi dan Transformasi Islamic Studies di UIN Sunan Kalijaga","edition":"1","id":"ITEM-1","issued":{"date-parts":[["2014"]]},"page":"63-75","publisher":"Pascasarjana UIN Sunan Kalijaga Yogyakarta","publisher-place":"Yogyakarta, Indonesia","title":"Studi Integratif-Interkonektif: Pengalaman Dan Pengembangan Pascasarjana UIN Sunan Kalijaga Yogyakarta","type":"chapter"},"uris":["http://www.mendeley.com/documents/?uuid=02c82962-0c15-4b9c-ba89-396a03b26da9"]}],"mendeley":{"formattedCitation":"(Nasution, 2014)","plainTextFormattedCitation":"(Nasution, 2014)","previouslyFormattedCitation":"(Nasution, 2014)"},"properties":{"noteIndex":0},"schema":"https://github.com/citation-style-language/schema/raw/master/csl-citation.json"}</w:instrText>
      </w:r>
      <w:r w:rsidR="00173E91" w:rsidRPr="00C55B9C">
        <w:fldChar w:fldCharType="separate"/>
      </w:r>
      <w:r w:rsidR="00173E91" w:rsidRPr="00C55B9C">
        <w:rPr>
          <w:rFonts w:ascii="Palatino Linotype" w:hAnsi="Palatino Linotype" w:cs="Times New Roman"/>
          <w:sz w:val="24"/>
          <w:szCs w:val="24"/>
        </w:rPr>
        <w:t>(Nasution, 2014)</w:t>
      </w:r>
      <w:r w:rsidR="00173E91" w:rsidRPr="00C55B9C">
        <w:fldChar w:fldCharType="end"/>
      </w:r>
      <w:r w:rsidRPr="00C55B9C">
        <w:rPr>
          <w:rFonts w:ascii="Palatino Linotype" w:hAnsi="Palatino Linotype" w:cs="Times New Roman"/>
          <w:sz w:val="24"/>
          <w:szCs w:val="24"/>
        </w:rPr>
        <w:t>. Dan bahkan pada tahun 2018, diselenggarakan konferensi nasional tentang integrasi-interkoneksi Islam dan Sain, yang melibatkan banyak pakar dari seluruh Indonesia.</w:t>
      </w:r>
      <w:r w:rsidRPr="00C55B9C">
        <w:fldChar w:fldCharType="begin" w:fldLock="1"/>
      </w:r>
      <w:r w:rsidR="00001A5F" w:rsidRPr="00C55B9C">
        <w:rPr>
          <w:rFonts w:ascii="Palatino Linotype" w:hAnsi="Palatino Linotype" w:cs="Times New Roman"/>
          <w:sz w:val="24"/>
          <w:szCs w:val="24"/>
        </w:rPr>
        <w:instrText>ADDIN CSL_CITATION {"citationItems":[{"id":"ITEM-1","itemData":{"container-title":"Konferensi Integrasi Interkoneksi Islam dan Sains, 7 Mei 2018 dengan tema Integrasi Interkoneksi Islam dan Sains di Universitas","editor":[{"dropping-particle":"","family":"Zulkarnaen","given":"Iskandar","non-dropping-particle":"","parse-names":false,"suffix":""},{"dropping-particle":"","family":"Musthafa","given":"Muhammad Wakhid","non-dropping-particle":"","parse-names":false,"suffix":""},{"dropping-particle":"","family":"Kaswadi","given":"Iwan","non-dropping-particle":"","parse-names":false,"suffix":""},{"dropping-particle":"","family":"Kurniawati","given":"Dwi Agustina","non-dropping-particle":"","parse-names":false,"suffix":""},{"dropping-particle":"","family":"Rahmadi","given":"Frida Agung","non-dropping-particle":"","parse-names":false,"suffix":""},{"dropping-particle":"","family":"Nurochman","given":"","non-dropping-particle":"","parse-names":false,"suffix":""},{"dropping-particle":"","family":"Pramesti","given":"Dias Idha","non-dropping-particle":"","parse-names":false,"suffix":""}],"id":"ITEM-1","issued":{"date-parts":[["2018"]]},"publisher":"Fakultas Sain dan Teknologi UIN Sunan Kalijaga","publisher-place":"Yogyakarta, Indonesia","title":"Prosiding Konferensi Integrasi Interkoneksi Islam dan Sain","type":"paper-conference"},"uris":["http://www.mendeley.com/documents/?uuid=5060faa6-2b15-490d-9da4-cebc2fa23b61"]}],"mendeley":{"formattedCitation":"(Zulkarnaen et al., 2018)","plainTextFormattedCitation":"(Zulkarnaen et al., 2018)","previouslyFormattedCitation":"(Zulkarnaen et al., 2018)"},"properties":{"noteIndex":0},"schema":"https://github.com/citation-style-language/schema/raw/master/csl-citation.json"}</w:instrText>
      </w:r>
      <w:r w:rsidRPr="00C55B9C">
        <w:fldChar w:fldCharType="separate"/>
      </w:r>
      <w:r w:rsidR="00001A5F" w:rsidRPr="00C55B9C">
        <w:rPr>
          <w:rFonts w:ascii="Palatino Linotype" w:hAnsi="Palatino Linotype" w:cs="Times New Roman"/>
          <w:sz w:val="24"/>
          <w:szCs w:val="24"/>
        </w:rPr>
        <w:t>(Zulkarnaen et al., 2018)</w:t>
      </w:r>
      <w:r w:rsidRPr="00C55B9C">
        <w:fldChar w:fldCharType="end"/>
      </w:r>
      <w:r w:rsidRPr="00C55B9C">
        <w:rPr>
          <w:rFonts w:ascii="Palatino Linotype" w:hAnsi="Palatino Linotype" w:cs="Times New Roman"/>
          <w:sz w:val="24"/>
          <w:szCs w:val="24"/>
        </w:rPr>
        <w:t xml:space="preserve"> </w:t>
      </w:r>
    </w:p>
    <w:p w:rsidR="00D757DA" w:rsidRPr="00C55B9C" w:rsidRDefault="00D757DA" w:rsidP="00C55B9C">
      <w:pPr>
        <w:widowControl w:val="0"/>
        <w:spacing w:after="120" w:line="240" w:lineRule="auto"/>
        <w:ind w:firstLine="567"/>
        <w:jc w:val="both"/>
        <w:rPr>
          <w:rFonts w:ascii="Palatino Linotype" w:hAnsi="Palatino Linotype" w:cs="Times New Roman"/>
          <w:sz w:val="24"/>
          <w:szCs w:val="24"/>
        </w:rPr>
      </w:pPr>
      <w:r w:rsidRPr="00C55B9C">
        <w:rPr>
          <w:rFonts w:ascii="Palatino Linotype" w:hAnsi="Palatino Linotype" w:cs="Times New Roman"/>
          <w:sz w:val="24"/>
          <w:szCs w:val="24"/>
        </w:rPr>
        <w:t xml:space="preserve">Sayangnya, dari berbagai kajian para ahli di atas, belum ada kajian yang bersifat implementative terhadap pendekatan integrasi interkoneksi dalam konteks ijtihad dan fatwa. Absennya kajian pendekatan ini dalam konteks fatwa dan ijtihad, boleh </w:t>
      </w:r>
      <w:r w:rsidRPr="00C55B9C">
        <w:rPr>
          <w:rFonts w:ascii="Palatino Linotype" w:hAnsi="Palatino Linotype" w:cs="Times New Roman"/>
          <w:sz w:val="24"/>
          <w:szCs w:val="24"/>
        </w:rPr>
        <w:lastRenderedPageBreak/>
        <w:t xml:space="preserve">jadi lembaga-lembaga fatwa atau ulama mujtahid belum banyak mengenal paradigma teori ini, sehingga masih berjibaku dengan metodologi lama. Sesungguhnya paradigma keilmuan integrasi-interkoneksi merupakan angin segar di tengah sumpeknya paradigma monodisplin dalam kerja fatwa selama ini. Kekakuan dan kejumudan perspketif termasuk di dalamnya kerja fatwa, diakibatkan karena para ilmuwan dan mujtahid terjebak pada satu disiplin keilmuan saja, yang tidak mau menengok perspektif keilmuan lainya. Dengan demikian, fatwa yang dihasilkan dari kerja monodisplin ini dapat diterka, yaitu fatwa yang problematic bukan lagi solutif. Oleh karena itu, dalam berbagai kesempatan, M. Amin Abdullah terus menyuarakan pentingnya paradigma integrasi-interkoneksi dalam forum ulama. Dalam suatu kesempatan seminar tarjih Muhammadiyah, misalnya, M. Amin Abdullah menyatakan sebagai berikut: </w:t>
      </w:r>
    </w:p>
    <w:p w:rsidR="00D757DA" w:rsidRPr="00C55B9C" w:rsidRDefault="00D757DA" w:rsidP="00C55B9C">
      <w:pPr>
        <w:widowControl w:val="0"/>
        <w:spacing w:after="120" w:line="240" w:lineRule="auto"/>
        <w:ind w:left="360" w:firstLine="567"/>
        <w:jc w:val="both"/>
        <w:rPr>
          <w:rFonts w:ascii="Palatino Linotype" w:hAnsi="Palatino Linotype" w:cs="Times New Roman"/>
          <w:sz w:val="24"/>
          <w:szCs w:val="24"/>
        </w:rPr>
      </w:pPr>
      <w:r w:rsidRPr="00C55B9C">
        <w:rPr>
          <w:rFonts w:ascii="Palatino Linotype" w:hAnsi="Palatino Linotype" w:cs="Times New Roman"/>
          <w:sz w:val="24"/>
          <w:szCs w:val="24"/>
        </w:rPr>
        <w:t>Jika Muhammadiyah telah melakukan pengayaan metode tarjih dengan mengembangkan metode bayani, irfany, dan burhany, kini saatnya manhaj tarjih dikembangkan melalui pendekatan multi, inter, dan transdisiplin. Dengan begitu, diharapkan pengayaan metode tarjih akan mampu untuk menguatkan paham dan aktualisasi Islam berkemajuan dalam kehidupan kontemporer</w:t>
      </w:r>
      <w:r w:rsidR="00C917E7" w:rsidRPr="00C55B9C">
        <w:rPr>
          <w:rFonts w:ascii="Palatino Linotype" w:hAnsi="Palatino Linotype" w:cs="Times New Roman"/>
          <w:sz w:val="24"/>
          <w:szCs w:val="24"/>
        </w:rPr>
        <w:t xml:space="preserve"> </w:t>
      </w:r>
      <w:r w:rsidR="00C917E7" w:rsidRPr="00C55B9C">
        <w:rPr>
          <w:rFonts w:ascii="Palatino Linotype" w:hAnsi="Palatino Linotype" w:cs="Times New Roman"/>
          <w:sz w:val="24"/>
          <w:szCs w:val="24"/>
        </w:rPr>
        <w:fldChar w:fldCharType="begin" w:fldLock="1"/>
      </w:r>
      <w:r w:rsidR="00C917E7" w:rsidRPr="00C55B9C">
        <w:rPr>
          <w:rFonts w:ascii="Palatino Linotype" w:hAnsi="Palatino Linotype" w:cs="Times New Roman"/>
          <w:sz w:val="24"/>
          <w:szCs w:val="24"/>
        </w:rPr>
        <w:instrText>ADDIN CSL_CITATION {"citationItems":[{"id":"ITEM-1","itemData":{"ISBN":"9786026268815","author":[{"dropping-particle":"","family":"Abdullah","given":"M. Amin","non-dropping-particle":"","parse-names":false,"suffix":""}],"edition":"1","editor":[{"dropping-particle":"","family":"Azaki Khoirudin","given":"","non-dropping-particle":"","parse-names":false,"suffix":""}],"id":"ITEM-1","issued":{"date-parts":[["2019"]]},"number-of-pages":"1-226","publisher":"Suara Muhammadiyah","publisher-place":"Yogyakarta","title":"Fresh Ijtihad: Manhaj Pemikiran Keislaman Muhammadiyah di Era Disrupsi","type":"book"},"uris":["http://www.mendeley.com/documents/?uuid=fbda8bd1-1d0a-40e7-b5f2-7bc1183ebbc2"]}],"mendeley":{"formattedCitation":"(Abdullah, 2019)","plainTextFormattedCitation":"(Abdullah, 2019)","previouslyFormattedCitation":"(Abdullah, 2019)"},"properties":{"noteIndex":0},"schema":"https://github.com/citation-style-language/schema/raw/master/csl-citation.json"}</w:instrText>
      </w:r>
      <w:r w:rsidR="00C917E7" w:rsidRPr="00C55B9C">
        <w:rPr>
          <w:rFonts w:ascii="Palatino Linotype" w:hAnsi="Palatino Linotype" w:cs="Times New Roman"/>
          <w:sz w:val="24"/>
          <w:szCs w:val="24"/>
        </w:rPr>
        <w:fldChar w:fldCharType="separate"/>
      </w:r>
      <w:r w:rsidR="00C917E7" w:rsidRPr="00C55B9C">
        <w:rPr>
          <w:rFonts w:ascii="Palatino Linotype" w:hAnsi="Palatino Linotype" w:cs="Times New Roman"/>
          <w:sz w:val="24"/>
          <w:szCs w:val="24"/>
        </w:rPr>
        <w:t>(Abdullah, 2019)</w:t>
      </w:r>
      <w:r w:rsidR="00C917E7" w:rsidRPr="00C55B9C">
        <w:rPr>
          <w:rFonts w:ascii="Palatino Linotype" w:hAnsi="Palatino Linotype" w:cs="Times New Roman"/>
          <w:sz w:val="24"/>
          <w:szCs w:val="24"/>
        </w:rPr>
        <w:fldChar w:fldCharType="end"/>
      </w:r>
      <w:r w:rsidRPr="00C55B9C">
        <w:rPr>
          <w:rFonts w:ascii="Palatino Linotype" w:hAnsi="Palatino Linotype" w:cs="Times New Roman"/>
          <w:sz w:val="24"/>
          <w:szCs w:val="24"/>
        </w:rPr>
        <w:t>.</w:t>
      </w:r>
      <w:r w:rsidR="00C917E7" w:rsidRPr="00C55B9C">
        <w:rPr>
          <w:rFonts w:ascii="Palatino Linotype" w:hAnsi="Palatino Linotype" w:cs="Times New Roman"/>
          <w:sz w:val="24"/>
          <w:szCs w:val="24"/>
        </w:rPr>
        <w:t xml:space="preserve"> </w:t>
      </w:r>
    </w:p>
    <w:p w:rsidR="00D757DA" w:rsidRPr="00C55B9C" w:rsidRDefault="00D757DA" w:rsidP="005D197F">
      <w:pPr>
        <w:spacing w:after="0" w:line="276" w:lineRule="auto"/>
        <w:ind w:firstLine="360"/>
        <w:jc w:val="both"/>
        <w:rPr>
          <w:rFonts w:ascii="Palatino Linotype" w:hAnsi="Palatino Linotype" w:cs="Times New Roman"/>
          <w:color w:val="000000" w:themeColor="text1"/>
          <w:sz w:val="24"/>
          <w:szCs w:val="24"/>
        </w:rPr>
      </w:pPr>
    </w:p>
    <w:p w:rsidR="00D757DA" w:rsidRPr="00C55B9C" w:rsidRDefault="00D757DA" w:rsidP="00A42CB3">
      <w:pPr>
        <w:pStyle w:val="Heading4"/>
        <w:numPr>
          <w:ilvl w:val="0"/>
          <w:numId w:val="16"/>
        </w:numPr>
        <w:rPr>
          <w:rFonts w:ascii="Palatino Linotype" w:hAnsi="Palatino Linotype"/>
          <w:color w:val="000000" w:themeColor="text1"/>
          <w:sz w:val="24"/>
          <w:szCs w:val="24"/>
        </w:rPr>
      </w:pPr>
      <w:r w:rsidRPr="00C55B9C">
        <w:rPr>
          <w:rFonts w:ascii="Palatino Linotype" w:hAnsi="Palatino Linotype"/>
          <w:color w:val="000000" w:themeColor="text1"/>
          <w:sz w:val="24"/>
          <w:szCs w:val="24"/>
        </w:rPr>
        <w:t>Prasyarat Etik-Otoritas Khalid Abou el-Fadl</w:t>
      </w:r>
    </w:p>
    <w:p w:rsidR="00D757DA" w:rsidRPr="00C55B9C" w:rsidRDefault="00D757DA" w:rsidP="00C55B9C">
      <w:pPr>
        <w:widowControl w:val="0"/>
        <w:spacing w:after="120" w:line="240" w:lineRule="auto"/>
        <w:ind w:firstLine="567"/>
        <w:jc w:val="both"/>
        <w:rPr>
          <w:rFonts w:ascii="Palatino Linotype" w:hAnsi="Palatino Linotype" w:cs="Times New Roman"/>
          <w:sz w:val="24"/>
          <w:szCs w:val="24"/>
        </w:rPr>
      </w:pPr>
      <w:r w:rsidRPr="00C55B9C">
        <w:rPr>
          <w:rFonts w:ascii="Palatino Linotype" w:hAnsi="Palatino Linotype" w:cs="Times New Roman"/>
          <w:sz w:val="24"/>
          <w:szCs w:val="24"/>
        </w:rPr>
        <w:t>Dalam perspektif Khaled Abou al-fadl, bahwa problem utama hukum Islam adalah persoalan otoritas. Otoritas secara Bahasa bermakna wewenang dan keberwenangan. Abou al-Fadl membedakan otoritas dalam dua kategori yaitu otoritas kursif dan otoritas persuasive, beliau menyatakan sebagai berikut:</w:t>
      </w:r>
    </w:p>
    <w:p w:rsidR="00D757DA" w:rsidRPr="00BA7706" w:rsidRDefault="00D757DA" w:rsidP="00BA7706">
      <w:pPr>
        <w:widowControl w:val="0"/>
        <w:spacing w:after="120" w:line="240" w:lineRule="auto"/>
        <w:ind w:left="567" w:firstLine="567"/>
        <w:jc w:val="both"/>
        <w:rPr>
          <w:rFonts w:ascii="Palatino Linotype" w:hAnsi="Palatino Linotype" w:cs="Times New Roman"/>
          <w:i/>
          <w:iCs/>
          <w:color w:val="000000" w:themeColor="text1"/>
          <w:sz w:val="24"/>
          <w:szCs w:val="24"/>
        </w:rPr>
      </w:pPr>
      <w:r w:rsidRPr="00BA7706">
        <w:rPr>
          <w:rFonts w:ascii="Palatino Linotype" w:hAnsi="Palatino Linotype"/>
          <w:i/>
          <w:iCs/>
          <w:color w:val="000000"/>
          <w:sz w:val="24"/>
          <w:szCs w:val="24"/>
        </w:rPr>
        <w:t>Coercive authority is the ability to direct the conduct of another person through the use of inducements, benefits, threats, or punishments so that a reasonable person would conclude that for all practical purposes they have no choice but to comply. Persuasive authority involves normative power. It is the ability to direct the belief or conduct of a person because of trust</w:t>
      </w:r>
      <w:r w:rsidR="00C917E7" w:rsidRPr="00BA7706">
        <w:rPr>
          <w:rFonts w:ascii="Palatino Linotype" w:hAnsi="Palatino Linotype"/>
          <w:i/>
          <w:iCs/>
          <w:color w:val="000000"/>
          <w:sz w:val="24"/>
          <w:szCs w:val="24"/>
        </w:rPr>
        <w:t xml:space="preserve"> </w:t>
      </w:r>
      <w:r w:rsidR="00C917E7" w:rsidRPr="00BA7706">
        <w:rPr>
          <w:rFonts w:ascii="Palatino Linotype" w:hAnsi="Palatino Linotype"/>
          <w:i/>
          <w:iCs/>
          <w:color w:val="000000"/>
          <w:sz w:val="24"/>
          <w:szCs w:val="24"/>
        </w:rPr>
        <w:fldChar w:fldCharType="begin" w:fldLock="1"/>
      </w:r>
      <w:r w:rsidR="00B829C5" w:rsidRPr="00BA7706">
        <w:rPr>
          <w:rFonts w:ascii="Palatino Linotype" w:hAnsi="Palatino Linotype"/>
          <w:i/>
          <w:iCs/>
          <w:color w:val="000000"/>
          <w:sz w:val="24"/>
          <w:szCs w:val="24"/>
        </w:rPr>
        <w:instrText>ADDIN CSL_CITATION {"citationItems":[{"id":"ITEM-1","itemData":{"ISBN":"978-1-78074-468-1","author":[{"dropping-particle":"","family":"El-Fadl","given":"Khaled M. Abou","non-dropping-particle":"","parse-names":false,"suffix":""}],"id":"ITEM-1","issued":{"date-parts":[["2014"]]},"publisher":"Oneworld Publications","publisher-place":"London, England","title":"Speaking in God’s Name: Islamic Law, Authority, and Women","type":"book"},"uris":["http://www.mendeley.com/documents/?uuid=c0c7f2ff-6d36-4fab-881b-ea76b0dda430"]}],"mendeley":{"formattedCitation":"(El-Fadl, 2014)","plainTextFormattedCitation":"(El-Fadl, 2014)","previouslyFormattedCitation":"(El-Fadl, 2014)"},"properties":{"noteIndex":0},"schema":"https://github.com/citation-style-language/schema/raw/master/csl-citation.json"}</w:instrText>
      </w:r>
      <w:r w:rsidR="00C917E7" w:rsidRPr="00BA7706">
        <w:rPr>
          <w:rFonts w:ascii="Palatino Linotype" w:hAnsi="Palatino Linotype"/>
          <w:i/>
          <w:iCs/>
          <w:color w:val="000000"/>
          <w:sz w:val="24"/>
          <w:szCs w:val="24"/>
        </w:rPr>
        <w:fldChar w:fldCharType="separate"/>
      </w:r>
      <w:r w:rsidR="00B829C5" w:rsidRPr="00BA7706">
        <w:rPr>
          <w:rFonts w:ascii="Palatino Linotype" w:hAnsi="Palatino Linotype"/>
          <w:i/>
          <w:iCs/>
          <w:noProof/>
          <w:color w:val="000000"/>
          <w:sz w:val="24"/>
          <w:szCs w:val="24"/>
        </w:rPr>
        <w:t>(El-Fadl, 2014)</w:t>
      </w:r>
      <w:r w:rsidR="00C917E7" w:rsidRPr="00BA7706">
        <w:rPr>
          <w:rFonts w:ascii="Palatino Linotype" w:hAnsi="Palatino Linotype"/>
          <w:i/>
          <w:iCs/>
          <w:color w:val="000000"/>
          <w:sz w:val="24"/>
          <w:szCs w:val="24"/>
        </w:rPr>
        <w:fldChar w:fldCharType="end"/>
      </w:r>
      <w:r w:rsidRPr="00BA7706">
        <w:rPr>
          <w:rFonts w:ascii="Palatino Linotype" w:hAnsi="Palatino Linotype"/>
          <w:i/>
          <w:iCs/>
          <w:color w:val="000000"/>
          <w:sz w:val="24"/>
          <w:szCs w:val="24"/>
        </w:rPr>
        <w:t>.</w:t>
      </w:r>
      <w:r w:rsidR="00C917E7" w:rsidRPr="00BA7706">
        <w:rPr>
          <w:rFonts w:ascii="Palatino Linotype" w:hAnsi="Palatino Linotype" w:cs="Times New Roman"/>
          <w:i/>
          <w:iCs/>
          <w:color w:val="000000" w:themeColor="text1"/>
          <w:sz w:val="24"/>
          <w:szCs w:val="24"/>
        </w:rPr>
        <w:t xml:space="preserve"> </w:t>
      </w:r>
    </w:p>
    <w:p w:rsidR="00D757DA" w:rsidRPr="00C55B9C" w:rsidRDefault="00D757DA" w:rsidP="00C55B9C">
      <w:pPr>
        <w:widowControl w:val="0"/>
        <w:spacing w:after="120" w:line="240" w:lineRule="auto"/>
        <w:ind w:firstLine="567"/>
        <w:jc w:val="both"/>
        <w:rPr>
          <w:rFonts w:ascii="Palatino Linotype" w:hAnsi="Palatino Linotype" w:cs="Times New Roman"/>
          <w:sz w:val="24"/>
          <w:szCs w:val="24"/>
        </w:rPr>
      </w:pPr>
      <w:r w:rsidRPr="00C55B9C">
        <w:rPr>
          <w:rFonts w:ascii="Palatino Linotype" w:hAnsi="Palatino Linotype" w:cs="Times New Roman"/>
          <w:sz w:val="24"/>
          <w:szCs w:val="24"/>
        </w:rPr>
        <w:t>Otoritas dalam Islam sering dikaitkan dengan kedaulatan Tuhan, al-Qur'ân, dan Nabi</w:t>
      </w:r>
      <w:r w:rsidR="00C917E7" w:rsidRPr="00C55B9C">
        <w:rPr>
          <w:rFonts w:ascii="Palatino Linotype" w:hAnsi="Palatino Linotype" w:cs="Times New Roman"/>
          <w:sz w:val="24"/>
          <w:szCs w:val="24"/>
        </w:rPr>
        <w:t xml:space="preserve"> </w:t>
      </w:r>
      <w:r w:rsidR="00C917E7" w:rsidRPr="00C55B9C">
        <w:rPr>
          <w:rFonts w:ascii="Palatino Linotype" w:hAnsi="Palatino Linotype" w:cs="Times New Roman"/>
          <w:sz w:val="24"/>
          <w:szCs w:val="24"/>
        </w:rPr>
        <w:fldChar w:fldCharType="begin" w:fldLock="1"/>
      </w:r>
      <w:r w:rsidR="00B829C5" w:rsidRPr="00C55B9C">
        <w:rPr>
          <w:rFonts w:ascii="Palatino Linotype" w:hAnsi="Palatino Linotype" w:cs="Times New Roman"/>
          <w:sz w:val="24"/>
          <w:szCs w:val="24"/>
        </w:rPr>
        <w:instrText>ADDIN CSL_CITATION {"citationItems":[{"id":"ITEM-1","itemData":{"ISBN":"978-1-78074-468-1","author":[{"dropping-particle":"","family":"El-Fadl","given":"Khaled M. Abou","non-dropping-particle":"","parse-names":false,"suffix":""}],"id":"ITEM-1","issued":{"date-parts":[["2014"]]},"publisher":"Oneworld Publications","publisher-place":"London, England","title":"Speaking in God’s Name: Islamic Law, Authority, and Women","type":"book"},"uris":["http://www.mendeley.com/documents/?uuid=c0c7f2ff-6d36-4fab-881b-ea76b0dda430"]}],"mendeley":{"formattedCitation":"(El-Fadl, 2014)","plainTextFormattedCitation":"(El-Fadl, 2014)","previouslyFormattedCitation":"(El-Fadl, 2014)"},"properties":{"noteIndex":0},"schema":"https://github.com/citation-style-language/schema/raw/master/csl-citation.json"}</w:instrText>
      </w:r>
      <w:r w:rsidR="00C917E7" w:rsidRPr="00C55B9C">
        <w:rPr>
          <w:rFonts w:ascii="Palatino Linotype" w:hAnsi="Palatino Linotype" w:cs="Times New Roman"/>
          <w:sz w:val="24"/>
          <w:szCs w:val="24"/>
        </w:rPr>
        <w:fldChar w:fldCharType="separate"/>
      </w:r>
      <w:r w:rsidR="00B829C5" w:rsidRPr="00C55B9C">
        <w:rPr>
          <w:rFonts w:ascii="Palatino Linotype" w:hAnsi="Palatino Linotype" w:cs="Times New Roman"/>
          <w:sz w:val="24"/>
          <w:szCs w:val="24"/>
        </w:rPr>
        <w:t>(El-Fadl, 2014)</w:t>
      </w:r>
      <w:r w:rsidR="00C917E7" w:rsidRPr="00C55B9C">
        <w:rPr>
          <w:rFonts w:ascii="Palatino Linotype" w:hAnsi="Palatino Linotype" w:cs="Times New Roman"/>
          <w:sz w:val="24"/>
          <w:szCs w:val="24"/>
        </w:rPr>
        <w:fldChar w:fldCharType="end"/>
      </w:r>
      <w:r w:rsidRPr="00C55B9C">
        <w:rPr>
          <w:rFonts w:ascii="Palatino Linotype" w:hAnsi="Palatino Linotype" w:cs="Times New Roman"/>
          <w:sz w:val="24"/>
          <w:szCs w:val="24"/>
        </w:rPr>
        <w:t>. Allah SWT dan Nabi Muhammad adalah penentu teks, pemilik Alqur’an dan Sunnah. Sebelum Nabi SAW meninggal, beliaulah pemegang otoritas dalam memahami, memaknai, dan implementasi Alqur’an. Seiring dengan ketiadaan nabi SAW (pasca meninggalnya), proses pemahaman dan implementasi Alqur’an diserahkan sepenuhnya kepada kaum muslimin. Terma khalifah yang ada di dalam alquran merujuk kepada manusia sebagai wakil Tuhan, menjadi legitimasi terhadap otoritas yang dimiliki oleh manusia</w:t>
      </w:r>
      <w:r w:rsidR="00C917E7" w:rsidRPr="00C55B9C">
        <w:rPr>
          <w:rFonts w:ascii="Palatino Linotype" w:hAnsi="Palatino Linotype" w:cs="Times New Roman"/>
          <w:sz w:val="24"/>
          <w:szCs w:val="24"/>
        </w:rPr>
        <w:t xml:space="preserve"> </w:t>
      </w:r>
      <w:r w:rsidR="00C917E7" w:rsidRPr="00C55B9C">
        <w:rPr>
          <w:rFonts w:ascii="Palatino Linotype" w:hAnsi="Palatino Linotype" w:cs="Times New Roman"/>
          <w:sz w:val="24"/>
          <w:szCs w:val="24"/>
        </w:rPr>
        <w:fldChar w:fldCharType="begin" w:fldLock="1"/>
      </w:r>
      <w:r w:rsidR="00B829C5" w:rsidRPr="00C55B9C">
        <w:rPr>
          <w:rFonts w:ascii="Palatino Linotype" w:hAnsi="Palatino Linotype" w:cs="Times New Roman"/>
          <w:sz w:val="24"/>
          <w:szCs w:val="24"/>
        </w:rPr>
        <w:instrText>ADDIN CSL_CITATION {"citationItems":[{"id":"ITEM-1","itemData":{"ISBN":"978-1-78074-468-1","author":[{"dropping-particle":"","family":"El-Fadl","given":"Khaled M. Abou","non-dropping-particle":"","parse-names":false,"suffix":""}],"id":"ITEM-1","issued":{"date-parts":[["2014"]]},"publisher":"Oneworld Publications","publisher-place":"London, England","title":"Speaking in God’s Name: Islamic Law, Authority, and Women","type":"book"},"uris":["http://www.mendeley.com/documents/?uuid=c0c7f2ff-6d36-4fab-881b-ea76b0dda430"]}],"mendeley":{"formattedCitation":"(El-Fadl, 2014)","plainTextFormattedCitation":"(El-Fadl, 2014)","previouslyFormattedCitation":"(El-Fadl, 2014)"},"properties":{"noteIndex":0},"schema":"https://github.com/citation-style-language/schema/raw/master/csl-citation.json"}</w:instrText>
      </w:r>
      <w:r w:rsidR="00C917E7" w:rsidRPr="00C55B9C">
        <w:rPr>
          <w:rFonts w:ascii="Palatino Linotype" w:hAnsi="Palatino Linotype" w:cs="Times New Roman"/>
          <w:sz w:val="24"/>
          <w:szCs w:val="24"/>
        </w:rPr>
        <w:fldChar w:fldCharType="separate"/>
      </w:r>
      <w:r w:rsidR="00B829C5" w:rsidRPr="00C55B9C">
        <w:rPr>
          <w:rFonts w:ascii="Palatino Linotype" w:hAnsi="Palatino Linotype" w:cs="Times New Roman"/>
          <w:sz w:val="24"/>
          <w:szCs w:val="24"/>
        </w:rPr>
        <w:t>(El-Fadl, 2014)</w:t>
      </w:r>
      <w:r w:rsidR="00C917E7" w:rsidRPr="00C55B9C">
        <w:rPr>
          <w:rFonts w:ascii="Palatino Linotype" w:hAnsi="Palatino Linotype" w:cs="Times New Roman"/>
          <w:sz w:val="24"/>
          <w:szCs w:val="24"/>
        </w:rPr>
        <w:fldChar w:fldCharType="end"/>
      </w:r>
      <w:r w:rsidRPr="00C55B9C">
        <w:rPr>
          <w:rFonts w:ascii="Palatino Linotype" w:hAnsi="Palatino Linotype" w:cs="Times New Roman"/>
          <w:sz w:val="24"/>
          <w:szCs w:val="24"/>
        </w:rPr>
        <w:t>.</w:t>
      </w:r>
      <w:r w:rsidR="00B829C5" w:rsidRPr="00C55B9C">
        <w:rPr>
          <w:rFonts w:ascii="Palatino Linotype" w:hAnsi="Palatino Linotype" w:cs="Times New Roman"/>
          <w:sz w:val="24"/>
          <w:szCs w:val="24"/>
        </w:rPr>
        <w:t xml:space="preserve"> </w:t>
      </w:r>
      <w:r w:rsidRPr="00C55B9C">
        <w:rPr>
          <w:rFonts w:ascii="Palatino Linotype" w:hAnsi="Palatino Linotype" w:cs="Times New Roman"/>
          <w:sz w:val="24"/>
          <w:szCs w:val="24"/>
        </w:rPr>
        <w:t xml:space="preserve">Sehingga kaum muslimin merupakan pemegang otoritas dalam pemaknaan dan implementasi Alqur’an setelah wafatnya Nabi SAW. Persoalanya adalah, sejauhmana dan bagaimana kaum </w:t>
      </w:r>
      <w:r w:rsidRPr="00C55B9C">
        <w:rPr>
          <w:rFonts w:ascii="Palatino Linotype" w:hAnsi="Palatino Linotype" w:cs="Times New Roman"/>
          <w:sz w:val="24"/>
          <w:szCs w:val="24"/>
        </w:rPr>
        <w:lastRenderedPageBreak/>
        <w:t>muslimin mampu menangkap dan memahami kehendak Tuhan yang ada di dalam Alquran dan Sunnah itu?</w:t>
      </w:r>
    </w:p>
    <w:p w:rsidR="00D757DA" w:rsidRPr="00C55B9C" w:rsidRDefault="00D757DA" w:rsidP="00C55B9C">
      <w:pPr>
        <w:widowControl w:val="0"/>
        <w:spacing w:after="120" w:line="240" w:lineRule="auto"/>
        <w:ind w:firstLine="567"/>
        <w:jc w:val="both"/>
        <w:rPr>
          <w:rFonts w:ascii="Palatino Linotype" w:hAnsi="Palatino Linotype" w:cs="Times New Roman"/>
          <w:sz w:val="24"/>
          <w:szCs w:val="24"/>
        </w:rPr>
      </w:pPr>
      <w:r w:rsidRPr="00C55B9C">
        <w:rPr>
          <w:rFonts w:ascii="Palatino Linotype" w:hAnsi="Palatino Linotype" w:cs="Times New Roman"/>
          <w:sz w:val="24"/>
          <w:szCs w:val="24"/>
        </w:rPr>
        <w:t>Proses penafsiran dan pemahaman al-Qur’an dimaksudkan untuk mencari dan menemukan maksud dan kehendak Allah SWT. Problem penafsiran inilah yang dihadapi oleh kaum Muslimin dalam menemukan kehendak Tuhan itu. Karena, Alquran dan Sunnah yang tertera dalam narasi (teks) dalm bentuk symbol, kata, dan kalimat memunculkan beragam interpretasi dalam pemaknaanya dalam konteks ruang dan waktu yang berbeda</w:t>
      </w:r>
      <w:r w:rsidR="00B829C5" w:rsidRPr="00C55B9C">
        <w:rPr>
          <w:rFonts w:ascii="Palatino Linotype" w:hAnsi="Palatino Linotype" w:cs="Times New Roman"/>
          <w:sz w:val="24"/>
          <w:szCs w:val="24"/>
        </w:rPr>
        <w:t xml:space="preserve"> </w:t>
      </w:r>
      <w:r w:rsidR="00B829C5" w:rsidRPr="00C55B9C">
        <w:rPr>
          <w:rFonts w:ascii="Palatino Linotype" w:hAnsi="Palatino Linotype" w:cs="Times New Roman"/>
          <w:sz w:val="24"/>
          <w:szCs w:val="24"/>
        </w:rPr>
        <w:fldChar w:fldCharType="begin" w:fldLock="1"/>
      </w:r>
      <w:r w:rsidR="00B829C5" w:rsidRPr="00C55B9C">
        <w:rPr>
          <w:rFonts w:ascii="Palatino Linotype" w:hAnsi="Palatino Linotype" w:cs="Times New Roman"/>
          <w:sz w:val="24"/>
          <w:szCs w:val="24"/>
        </w:rPr>
        <w:instrText>ADDIN CSL_CITATION {"citationItems":[{"id":"ITEM-1","itemData":{"ISBN":"978-1-78074-468-1","author":[{"dropping-particle":"","family":"El-Fadl","given":"Khaled M. Abou","non-dropping-particle":"","parse-names":false,"suffix":""}],"id":"ITEM-1","issued":{"date-parts":[["2014"]]},"publisher":"Oneworld Publications","publisher-place":"London, England","title":"Speaking in God’s Name: Islamic Law, Authority, and Women","type":"book"},"uris":["http://www.mendeley.com/documents/?uuid=c0c7f2ff-6d36-4fab-881b-ea76b0dda430"]}],"mendeley":{"formattedCitation":"(El-Fadl, 2014)","plainTextFormattedCitation":"(El-Fadl, 2014)","previouslyFormattedCitation":"(El-Fadl, 2014)"},"properties":{"noteIndex":0},"schema":"https://github.com/citation-style-language/schema/raw/master/csl-citation.json"}</w:instrText>
      </w:r>
      <w:r w:rsidR="00B829C5" w:rsidRPr="00C55B9C">
        <w:rPr>
          <w:rFonts w:ascii="Palatino Linotype" w:hAnsi="Palatino Linotype" w:cs="Times New Roman"/>
          <w:sz w:val="24"/>
          <w:szCs w:val="24"/>
        </w:rPr>
        <w:fldChar w:fldCharType="separate"/>
      </w:r>
      <w:r w:rsidR="00B829C5" w:rsidRPr="00C55B9C">
        <w:rPr>
          <w:rFonts w:ascii="Palatino Linotype" w:hAnsi="Palatino Linotype" w:cs="Times New Roman"/>
          <w:sz w:val="24"/>
          <w:szCs w:val="24"/>
        </w:rPr>
        <w:t>(El-Fadl, 2014)</w:t>
      </w:r>
      <w:r w:rsidR="00B829C5" w:rsidRPr="00C55B9C">
        <w:rPr>
          <w:rFonts w:ascii="Palatino Linotype" w:hAnsi="Palatino Linotype" w:cs="Times New Roman"/>
          <w:sz w:val="24"/>
          <w:szCs w:val="24"/>
        </w:rPr>
        <w:fldChar w:fldCharType="end"/>
      </w:r>
      <w:r w:rsidRPr="00C55B9C">
        <w:rPr>
          <w:rFonts w:ascii="Palatino Linotype" w:hAnsi="Palatino Linotype" w:cs="Times New Roman"/>
          <w:sz w:val="24"/>
          <w:szCs w:val="24"/>
        </w:rPr>
        <w:t>. Oleh karena itu, perimbangan antara pengarang, pembaca, dan teks dalam penentuan makna harus dijaga dengan baik. Demikian juga, dinamika proses penentuan makna teks secara demokratis harus dipelihara</w:t>
      </w:r>
      <w:r w:rsidR="00B829C5" w:rsidRPr="00C55B9C">
        <w:rPr>
          <w:rFonts w:ascii="Palatino Linotype" w:hAnsi="Palatino Linotype" w:cs="Times New Roman"/>
          <w:sz w:val="24"/>
          <w:szCs w:val="24"/>
        </w:rPr>
        <w:t xml:space="preserve"> </w:t>
      </w:r>
      <w:r w:rsidRPr="00C55B9C">
        <w:fldChar w:fldCharType="begin" w:fldLock="1"/>
      </w:r>
      <w:r w:rsidRPr="00C55B9C">
        <w:rPr>
          <w:rFonts w:ascii="Palatino Linotype" w:hAnsi="Palatino Linotype" w:cs="Times New Roman"/>
          <w:sz w:val="24"/>
          <w:szCs w:val="24"/>
        </w:rPr>
        <w:instrText>ADDIN CSL_CITATION {"citationItems":[{"id":"ITEM-1","itemData":{"author":[{"dropping-particle":"","family":"Abdullah","given":"M. Amin","non-dropping-particle":"","parse-names":false,"suffix":""}],"chapter-number":"Pengantar","container-title":"Atas Nama Tuhan: Dari Fikih Otoriter ke Fikih Otoritatif","edition":"1","editor":[{"dropping-particle":"","family":"Hakim","given":"R. Cecep Lukman","non-dropping-particle":"","parse-names":false,"suffix":""},{"dropping-particle":"","family":"Musthafa","given":"M.","non-dropping-particle":"","parse-names":false,"suffix":""}],"id":"ITEM-1","issued":{"date-parts":[["2003"]]},"page":"vii-xvii","publisher":"PT Serambi Ilmu Semesta","publisher-place":"Jakarta, Indonesia","title":"Pendekatam Hermeneutik dalam Studi Fatwa-fatwa Keagamaan: Proses Negosiasi Komunitas Pencari makna Teks, pengarang, dan Pembaca","type":"chapter"},"uris":["http://www.mendeley.com/documents/?uuid=8c76379d-efec-403d-b1f3-6018861c5ff8"]}],"mendeley":{"formattedCitation":"(Abdullah, 2003)","plainTextFormattedCitation":"(Abdullah, 2003)","previouslyFormattedCitation":"(Abdullah, 2003)"},"properties":{"noteIndex":0},"schema":"https://github.com/citation-style-language/schema/raw/master/csl-citation.json"}</w:instrText>
      </w:r>
      <w:r w:rsidRPr="00C55B9C">
        <w:fldChar w:fldCharType="separate"/>
      </w:r>
      <w:r w:rsidRPr="00C55B9C">
        <w:rPr>
          <w:rFonts w:ascii="Palatino Linotype" w:hAnsi="Palatino Linotype" w:cs="Times New Roman"/>
          <w:sz w:val="24"/>
          <w:szCs w:val="24"/>
        </w:rPr>
        <w:t>(Abdullah, 2003)</w:t>
      </w:r>
      <w:r w:rsidRPr="00C55B9C">
        <w:fldChar w:fldCharType="end"/>
      </w:r>
      <w:r w:rsidR="00B829C5" w:rsidRPr="00C55B9C">
        <w:rPr>
          <w:rFonts w:ascii="Palatino Linotype" w:hAnsi="Palatino Linotype" w:cs="Times New Roman"/>
          <w:sz w:val="24"/>
          <w:szCs w:val="24"/>
        </w:rPr>
        <w:t>.</w:t>
      </w:r>
      <w:r w:rsidRPr="00C55B9C">
        <w:rPr>
          <w:rFonts w:ascii="Palatino Linotype" w:hAnsi="Palatino Linotype" w:cs="Times New Roman"/>
          <w:sz w:val="24"/>
          <w:szCs w:val="24"/>
        </w:rPr>
        <w:t xml:space="preserve"> Ketika pemaknaan teks itu, dimonopoli oleh pihak-pihak tertentu yang mengklaim bahwa merekalah yang berhak dan memiliki otoritas tunggal untuk memaknai kehendak Tuhan yang harus diikuti oleh orang lain, maka memunculkan otoritarinisme yang berimplikasi pada rusaknya tradisi ijtihad hokum Islam. </w:t>
      </w:r>
    </w:p>
    <w:p w:rsidR="00D757DA" w:rsidRPr="00C55B9C" w:rsidRDefault="00D757DA" w:rsidP="00C55B9C">
      <w:pPr>
        <w:widowControl w:val="0"/>
        <w:spacing w:after="120" w:line="240" w:lineRule="auto"/>
        <w:ind w:firstLine="567"/>
        <w:jc w:val="both"/>
        <w:rPr>
          <w:rFonts w:ascii="Palatino Linotype" w:hAnsi="Palatino Linotype" w:cs="Times New Roman"/>
          <w:sz w:val="24"/>
          <w:szCs w:val="24"/>
        </w:rPr>
      </w:pPr>
      <w:r w:rsidRPr="00C55B9C">
        <w:rPr>
          <w:rFonts w:ascii="Palatino Linotype" w:hAnsi="Palatino Linotype" w:cs="Times New Roman"/>
          <w:sz w:val="24"/>
          <w:szCs w:val="24"/>
        </w:rPr>
        <w:t>Untuk mengeliminasi kecenderungan otoriter bagi pemegang otoritas, Khaled Abou al-Fadl menawarkan konsep bahwa pemegang otoritas harus memenuhi standar kriteria karakter utama, sehingga kewenangan (otoritas) yang dimilikinya itu, dapat menjadi otoritatif. Abou al-Fadl mensyaratkan lima kriteria utama bagi seorang seorang mujtahid, pemegang otoritas ijtihad, yaitu; kejujuran (honesty), kesungguhan (delligency), kemenyuluruhan (comprehensiveness), rasionalitas (reason-ableness), dan pengendalian diri (self-restraint)</w:t>
      </w:r>
      <w:r w:rsidR="00DE1A85" w:rsidRPr="00C55B9C">
        <w:rPr>
          <w:rFonts w:ascii="Palatino Linotype" w:hAnsi="Palatino Linotype" w:cs="Times New Roman"/>
          <w:sz w:val="24"/>
          <w:szCs w:val="24"/>
        </w:rPr>
        <w:t xml:space="preserve"> </w:t>
      </w:r>
      <w:r w:rsidRPr="00C55B9C">
        <w:fldChar w:fldCharType="begin" w:fldLock="1"/>
      </w:r>
      <w:r w:rsidRPr="00C55B9C">
        <w:rPr>
          <w:rFonts w:ascii="Palatino Linotype" w:hAnsi="Palatino Linotype" w:cs="Times New Roman"/>
          <w:sz w:val="24"/>
          <w:szCs w:val="24"/>
        </w:rPr>
        <w:instrText>ADDIN CSL_CITATION {"citationItems":[{"id":"ITEM-1","itemData":{"abstract":"Menurut Abou el Fadl, hermeneutika otoritatif adalah satu-satunya pendekatan yang mampu untuk menjawab persoalan-persoalan hukum Islam yang berkembang selama ini yang masih dianggap diskriminatif. Abou el Fadl mengusung teori dengan menggunakan pendekatan hermeneutika sebagai pisau analisis dalam menyikapi persoalan tersebut. Baginya, reinterpretasi tafsir-tafsir hukum Islam menjadi sangat penting untuk dilakukan supaya dapat terhindar dari suatu sikap yang oleh Abou el Fadl disebut sebagai otoritarianisme interpretatsi. Oleh karenanya, hermeneutika yang Abou el Fadl kembangkan berorientasi pada otoritas penafsiran sebuah teks dengan menegosiasikan teks, pengarang dan pembaca, dan mempertimbangkan kepribadian seorang penafsir (reader). Dengan menggunakan teori otoritas tersebut Abou el Fadl mencoba mengkonstruksi gagasan tentang pemegang otoritas dalam dikursus ke-Islam-an. Konsep otoritas Islam dalam konstruksinya sebagai wujud untuk menjembatani kehendak Tuhan, Abou el Fadl memerhatikan terhadap tiga hal, yaitu; berkaitan dengan “kompetensi” (autentisitas), berkaitan dengan “penetapan makna”, dan berkaitan dengan “perwakilan”. Tiga pokok persoalan inilah menurut Abou el Fadl, memainkan peranan penting dalam membentuk “pemegang","author":[{"dropping-particle":"","family":"Syarifuddin","given":"","non-dropping-particle":"","parse-names":false,"suffix":""}],"container-title":"Jurnal Subtantia","id":"ITEM-1","issue":"2","issued":{"date-parts":[["2015"]]},"page":"231-244","title":"Hermeneutika Khaled Abou El Fadl","type":"article-journal","volume":"17"},"uris":["http://www.mendeley.com/documents/?uuid=d7aebc67-0d2b-43f8-b938-c5a4ee3ddae2"]}],"mendeley":{"formattedCitation":"(Syarifuddin, 2015)","plainTextFormattedCitation":"(Syarifuddin, 2015)","previouslyFormattedCitation":"(Syarifuddin, 2015)"},"properties":{"noteIndex":0},"schema":"https://github.com/citation-style-language/schema/raw/master/csl-citation.json"}</w:instrText>
      </w:r>
      <w:r w:rsidRPr="00C55B9C">
        <w:fldChar w:fldCharType="separate"/>
      </w:r>
      <w:r w:rsidRPr="00C55B9C">
        <w:rPr>
          <w:rFonts w:ascii="Palatino Linotype" w:hAnsi="Palatino Linotype" w:cs="Times New Roman"/>
          <w:sz w:val="24"/>
          <w:szCs w:val="24"/>
        </w:rPr>
        <w:t>(Syarifuddin, 2015)</w:t>
      </w:r>
      <w:r w:rsidRPr="00C55B9C">
        <w:fldChar w:fldCharType="end"/>
      </w:r>
      <w:r w:rsidR="00DE1A85" w:rsidRPr="00C55B9C">
        <w:rPr>
          <w:rFonts w:ascii="Palatino Linotype" w:hAnsi="Palatino Linotype" w:cs="Times New Roman"/>
          <w:sz w:val="24"/>
          <w:szCs w:val="24"/>
        </w:rPr>
        <w:t>.</w:t>
      </w:r>
      <w:r w:rsidRPr="00C55B9C">
        <w:rPr>
          <w:rFonts w:ascii="Palatino Linotype" w:hAnsi="Palatino Linotype" w:cs="Times New Roman"/>
          <w:sz w:val="24"/>
          <w:szCs w:val="24"/>
        </w:rPr>
        <w:t xml:space="preserve"> Abou al-fadl, menjelaskan lebih lanjut lima hal itu, sebagai berikut, yaitu: 1) Kejujuran (honesty), dalam hal ini, mufasir harus memiliki kejujuran dalam menafsirkan teks Tuhan. Maksudnya tidak mengganti dan menyembunyikan dengan sengaja perintah Tuhannya dengan motif atau maksud dari apapun. Mufasir harus menjelaskan semua asumsi dasar yang dimilikinya ketika akan menafsirkan teks. Sehingga para mufassir atau para fuqaha terbebas dari intrik dan premis yang menguntungkan atau merugikan. Teks menurut Khaled harus dibaca secara objektif. 2) Kesungguhan dan tulus hati (diligence), mufasir dalam hal ini diharapkan memiliki komitmen dan mengerahkan segenap daya dan upayanya dalam menemukan dan memahami petunjuk-petunjuk yang relevan yang berkaitan dengan dinamika kehidupan. 3) Menyeluruh (comprehensiveness) yaitu mempertimbangkan berbagai aspek yang terkait. Pencarian makna oleh mufasir dengan melihat aspek kesejarahan dan aspek relevansinya dengan kontek kekinian. 4) Rasional (reasonableness). Mufasir harus melakukan penafsiran dan menganalisis teks secara rasional. Mufasir tidak diperkenankan melakukan penafsiran yang berlebihan (over interpretation) terhadap teks yang ada. Dan 5) Pengendalian diri (self-restraint), mufasir harus menunjukkan kerendahan hati dan pengendalian diri dalam menjelaskan kehendak Tuhannya. Ini </w:t>
      </w:r>
      <w:r w:rsidRPr="00C55B9C">
        <w:rPr>
          <w:rFonts w:ascii="Palatino Linotype" w:hAnsi="Palatino Linotype" w:cs="Times New Roman"/>
          <w:sz w:val="24"/>
          <w:szCs w:val="24"/>
        </w:rPr>
        <w:lastRenderedPageBreak/>
        <w:t>menunjukkan bahwa mufasir harus mengenali batasan peran yang dimilikinya agar tidak melampaui batas kewenangannya. Kelima-limanya dijadikan sebagai acuan parameter kebenaran</w:t>
      </w:r>
      <w:r w:rsidR="00A03D40" w:rsidRPr="00C55B9C">
        <w:rPr>
          <w:rFonts w:ascii="Palatino Linotype" w:hAnsi="Palatino Linotype" w:cs="Times New Roman"/>
          <w:sz w:val="24"/>
          <w:szCs w:val="24"/>
        </w:rPr>
        <w:t xml:space="preserve"> </w:t>
      </w:r>
      <w:r w:rsidRPr="00C55B9C">
        <w:fldChar w:fldCharType="begin" w:fldLock="1"/>
      </w:r>
      <w:r w:rsidR="002C1E42" w:rsidRPr="00C55B9C">
        <w:rPr>
          <w:rFonts w:ascii="Palatino Linotype" w:hAnsi="Palatino Linotype" w:cs="Times New Roman"/>
          <w:sz w:val="24"/>
          <w:szCs w:val="24"/>
        </w:rPr>
        <w:instrText>ADDIN CSL_CITATION {"citationItems":[{"id":"ITEM-1","itemData":{"author":[{"dropping-particle":"","family":"Ridwan","given":"Mohammad","non-dropping-particle":"","parse-names":false,"suffix":""}],"container-title":"Jurnal Fenomena","id":"ITEM-1","issue":"1","issued":{"date-parts":[["2017"]]},"page":"187-196","title":"Konstruksi Otoritarianisme Hukum Islam Menurut Khaled M. Abou El-Fadl","type":"article-journal","volume":"9"},"uris":["http://www.mendeley.com/documents/?uuid=5ee013f0-80e7-446e-800e-7636554ff033"]}],"mendeley":{"formattedCitation":"(Ridwan, 2017)","plainTextFormattedCitation":"(Ridwan, 2017)","previouslyFormattedCitation":"(Mohammad Ridwan, 2017)"},"properties":{"noteIndex":0},"schema":"https://github.com/citation-style-language/schema/raw/master/csl-citation.json"}</w:instrText>
      </w:r>
      <w:r w:rsidRPr="00C55B9C">
        <w:fldChar w:fldCharType="separate"/>
      </w:r>
      <w:r w:rsidR="002C1E42" w:rsidRPr="00C55B9C">
        <w:rPr>
          <w:rFonts w:ascii="Palatino Linotype" w:hAnsi="Palatino Linotype" w:cs="Times New Roman"/>
          <w:sz w:val="24"/>
          <w:szCs w:val="24"/>
        </w:rPr>
        <w:t>(Ridwan, 2017)</w:t>
      </w:r>
      <w:r w:rsidRPr="00C55B9C">
        <w:fldChar w:fldCharType="end"/>
      </w:r>
      <w:r w:rsidR="00A03D40" w:rsidRPr="00C55B9C">
        <w:rPr>
          <w:rFonts w:ascii="Palatino Linotype" w:hAnsi="Palatino Linotype" w:cs="Times New Roman"/>
          <w:sz w:val="24"/>
          <w:szCs w:val="24"/>
        </w:rPr>
        <w:t>.</w:t>
      </w:r>
    </w:p>
    <w:p w:rsidR="00D757DA" w:rsidRPr="00C55B9C" w:rsidRDefault="00D757DA" w:rsidP="00C55B9C">
      <w:pPr>
        <w:widowControl w:val="0"/>
        <w:spacing w:after="120" w:line="240" w:lineRule="auto"/>
        <w:ind w:firstLine="567"/>
        <w:jc w:val="both"/>
        <w:rPr>
          <w:rFonts w:ascii="Palatino Linotype" w:hAnsi="Palatino Linotype" w:cs="Times New Roman"/>
          <w:sz w:val="24"/>
          <w:szCs w:val="24"/>
        </w:rPr>
      </w:pPr>
      <w:r w:rsidRPr="00C55B9C">
        <w:rPr>
          <w:rFonts w:ascii="Palatino Linotype" w:hAnsi="Palatino Linotype" w:cs="Times New Roman"/>
          <w:sz w:val="24"/>
          <w:szCs w:val="24"/>
        </w:rPr>
        <w:t>Dengan lima karakter di atas, seorang mujtahid sebagai pemegang otoritas ijtihad diharapkan dapat menghasilkan produk ijtihad (fiqh, fatwa) yang mendapatkan legitimasi kuat dan berlaku universal (otoritatif)</w:t>
      </w:r>
      <w:r w:rsidR="00B829C5" w:rsidRPr="00C55B9C">
        <w:rPr>
          <w:rFonts w:ascii="Palatino Linotype" w:hAnsi="Palatino Linotype" w:cs="Times New Roman"/>
          <w:sz w:val="24"/>
          <w:szCs w:val="24"/>
        </w:rPr>
        <w:t xml:space="preserve"> </w:t>
      </w:r>
      <w:r w:rsidRPr="00C55B9C">
        <w:fldChar w:fldCharType="begin" w:fldLock="1"/>
      </w:r>
      <w:r w:rsidRPr="00C55B9C">
        <w:rPr>
          <w:rFonts w:ascii="Palatino Linotype" w:hAnsi="Palatino Linotype" w:cs="Times New Roman"/>
          <w:sz w:val="24"/>
          <w:szCs w:val="24"/>
        </w:rPr>
        <w:instrText>ADDIN CSL_CITATION {"citationItems":[{"id":"ITEM-1","itemData":{"abstract":"Menurut Abou el Fadl, hermeneutika otoritatif adalah satu-satunya pendekatan yang mampu untuk menjawab persoalan-persoalan hukum Islam yang berkembang selama ini yang masih dianggap diskriminatif. Abou el Fadl mengusung teori dengan menggunakan pendekatan hermeneutika sebagai pisau analisis dalam menyikapi persoalan tersebut. Baginya, reinterpretasi tafsir-tafsir hukum Islam menjadi sangat penting untuk dilakukan supaya dapat terhindar dari suatu sikap yang oleh Abou el Fadl disebut sebagai otoritarianisme interpretatsi. Oleh karenanya, hermeneutika yang Abou el Fadl kembangkan berorientasi pada otoritas penafsiran sebuah teks dengan menegosiasikan teks, pengarang dan pembaca, dan mempertimbangkan kepribadian seorang penafsir (reader). Dengan menggunakan teori otoritas tersebut Abou el Fadl mencoba mengkonstruksi gagasan tentang pemegang otoritas dalam dikursus ke-Islam-an. Konsep otoritas Islam dalam konstruksinya sebagai wujud untuk menjembatani kehendak Tuhan, Abou el Fadl memerhatikan terhadap tiga hal, yaitu; berkaitan dengan “kompetensi” (autentisitas), berkaitan dengan “penetapan makna”, dan berkaitan dengan “perwakilan”. Tiga pokok persoalan inilah menurut Abou el Fadl, memainkan peranan penting dalam membentuk “pemegang","author":[{"dropping-particle":"","family":"Syarifuddin","given":"","non-dropping-particle":"","parse-names":false,"suffix":""}],"container-title":"Jurnal Subtantia","id":"ITEM-1","issue":"2","issued":{"date-parts":[["2015"]]},"page":"231-244","title":"Hermeneutika Khaled Abou El Fadl","type":"article-journal","volume":"17"},"uris":["http://www.mendeley.com/documents/?uuid=d7aebc67-0d2b-43f8-b938-c5a4ee3ddae2"]}],"mendeley":{"formattedCitation":"(Syarifuddin, 2015)","plainTextFormattedCitation":"(Syarifuddin, 2015)","previouslyFormattedCitation":"(Syarifuddin, 2015)"},"properties":{"noteIndex":0},"schema":"https://github.com/citation-style-language/schema/raw/master/csl-citation.json"}</w:instrText>
      </w:r>
      <w:r w:rsidRPr="00C55B9C">
        <w:fldChar w:fldCharType="separate"/>
      </w:r>
      <w:r w:rsidRPr="00C55B9C">
        <w:rPr>
          <w:rFonts w:ascii="Palatino Linotype" w:hAnsi="Palatino Linotype" w:cs="Times New Roman"/>
          <w:sz w:val="24"/>
          <w:szCs w:val="24"/>
        </w:rPr>
        <w:t>(Syarifuddin, 2015)</w:t>
      </w:r>
      <w:r w:rsidRPr="00C55B9C">
        <w:fldChar w:fldCharType="end"/>
      </w:r>
      <w:r w:rsidR="00B829C5" w:rsidRPr="00C55B9C">
        <w:rPr>
          <w:rFonts w:ascii="Palatino Linotype" w:hAnsi="Palatino Linotype" w:cs="Times New Roman"/>
          <w:sz w:val="24"/>
          <w:szCs w:val="24"/>
        </w:rPr>
        <w:t>.</w:t>
      </w:r>
      <w:r w:rsidRPr="00C55B9C">
        <w:rPr>
          <w:rFonts w:ascii="Palatino Linotype" w:hAnsi="Palatino Linotype" w:cs="Times New Roman"/>
          <w:sz w:val="24"/>
          <w:szCs w:val="24"/>
        </w:rPr>
        <w:t xml:space="preserve"> Sebaliknya, ketika pemegang otoritas tidak memiliki kualifikasi yang memenuhi prasyaratan yang ditentukan, maka fatwa, ijtihad dan tafsiran yang lahir darinya tidak lagi otoritatif, tetapi penuh dengan nuansa otoritarianisme. Abou al-Fadl memberikan contoh terkait dengan model pemikiran hokum atau fatwa yang otoriter dengan merujuk pada kelompok Wahabi-salafi. Kelompok neo-ijtihad (Wahabi-salafi), menurut Abou al-Fadl memiliki kecenderungan eksploitatif terhadap teks (ororiter). Sistem pemikiran hokum kelompok neo ijtihad (wahabi-salafi), adalah berparadigma kembali kepada tradisi Islam</w:t>
      </w:r>
      <w:r w:rsidR="00B829C5" w:rsidRPr="00C55B9C">
        <w:rPr>
          <w:rFonts w:ascii="Palatino Linotype" w:hAnsi="Palatino Linotype" w:cs="Times New Roman"/>
          <w:sz w:val="24"/>
          <w:szCs w:val="24"/>
        </w:rPr>
        <w:t xml:space="preserve"> </w:t>
      </w:r>
      <w:r w:rsidR="00B829C5" w:rsidRPr="00C55B9C">
        <w:rPr>
          <w:rFonts w:ascii="Palatino Linotype" w:hAnsi="Palatino Linotype" w:cs="Times New Roman"/>
          <w:sz w:val="24"/>
          <w:szCs w:val="24"/>
        </w:rPr>
        <w:fldChar w:fldCharType="begin" w:fldLock="1"/>
      </w:r>
      <w:r w:rsidR="00B829C5" w:rsidRPr="00C55B9C">
        <w:rPr>
          <w:rFonts w:ascii="Palatino Linotype" w:hAnsi="Palatino Linotype" w:cs="Times New Roman"/>
          <w:sz w:val="24"/>
          <w:szCs w:val="24"/>
        </w:rPr>
        <w:instrText>ADDIN CSL_CITATION {"citationItems":[{"id":"ITEM-1","itemData":{"ISBN":"978-1-78074-468-1","author":[{"dropping-particle":"","family":"El-Fadl","given":"Khaled M. Abou","non-dropping-particle":"","parse-names":false,"suffix":""}],"id":"ITEM-1","issued":{"date-parts":[["2014"]]},"publisher":"Oneworld Publications","publisher-place":"London, England","title":"Speaking in God’s Name: Islamic Law, Authority, and Women","type":"book"},"uris":["http://www.mendeley.com/documents/?uuid=c0c7f2ff-6d36-4fab-881b-ea76b0dda430"]}],"mendeley":{"formattedCitation":"(El-Fadl, 2014)","plainTextFormattedCitation":"(El-Fadl, 2014)","previouslyFormattedCitation":"(El-Fadl, 2014)"},"properties":{"noteIndex":0},"schema":"https://github.com/citation-style-language/schema/raw/master/csl-citation.json"}</w:instrText>
      </w:r>
      <w:r w:rsidR="00B829C5" w:rsidRPr="00C55B9C">
        <w:rPr>
          <w:rFonts w:ascii="Palatino Linotype" w:hAnsi="Palatino Linotype" w:cs="Times New Roman"/>
          <w:sz w:val="24"/>
          <w:szCs w:val="24"/>
        </w:rPr>
        <w:fldChar w:fldCharType="separate"/>
      </w:r>
      <w:r w:rsidR="00B829C5" w:rsidRPr="00C55B9C">
        <w:rPr>
          <w:rFonts w:ascii="Palatino Linotype" w:hAnsi="Palatino Linotype" w:cs="Times New Roman"/>
          <w:sz w:val="24"/>
          <w:szCs w:val="24"/>
        </w:rPr>
        <w:t>(El-Fadl, 2014)</w:t>
      </w:r>
      <w:r w:rsidR="00B829C5" w:rsidRPr="00C55B9C">
        <w:rPr>
          <w:rFonts w:ascii="Palatino Linotype" w:hAnsi="Palatino Linotype" w:cs="Times New Roman"/>
          <w:sz w:val="24"/>
          <w:szCs w:val="24"/>
        </w:rPr>
        <w:fldChar w:fldCharType="end"/>
      </w:r>
      <w:r w:rsidR="00B829C5" w:rsidRPr="00C55B9C">
        <w:rPr>
          <w:rFonts w:ascii="Palatino Linotype" w:hAnsi="Palatino Linotype" w:cs="Times New Roman"/>
          <w:sz w:val="24"/>
          <w:szCs w:val="24"/>
        </w:rPr>
        <w:t>,</w:t>
      </w:r>
      <w:r w:rsidRPr="00C55B9C">
        <w:rPr>
          <w:rFonts w:ascii="Palatino Linotype" w:hAnsi="Palatino Linotype" w:cs="Times New Roman"/>
          <w:sz w:val="24"/>
          <w:szCs w:val="24"/>
        </w:rPr>
        <w:t xml:space="preserve"> tapi sayangnya dengan cara tidak sistematis, berkecenderungan selektif (pilah pilih menurut selera) dan oportunis</w:t>
      </w:r>
      <w:r w:rsidR="00B829C5" w:rsidRPr="00C55B9C">
        <w:rPr>
          <w:rFonts w:ascii="Palatino Linotype" w:hAnsi="Palatino Linotype" w:cs="Times New Roman"/>
          <w:sz w:val="24"/>
          <w:szCs w:val="24"/>
        </w:rPr>
        <w:t xml:space="preserve"> </w:t>
      </w:r>
      <w:r w:rsidR="00B829C5" w:rsidRPr="00C55B9C">
        <w:rPr>
          <w:rFonts w:ascii="Palatino Linotype" w:hAnsi="Palatino Linotype" w:cs="Times New Roman"/>
          <w:sz w:val="24"/>
          <w:szCs w:val="24"/>
        </w:rPr>
        <w:fldChar w:fldCharType="begin" w:fldLock="1"/>
      </w:r>
      <w:r w:rsidR="00B829C5" w:rsidRPr="00C55B9C">
        <w:rPr>
          <w:rFonts w:ascii="Palatino Linotype" w:hAnsi="Palatino Linotype" w:cs="Times New Roman"/>
          <w:sz w:val="24"/>
          <w:szCs w:val="24"/>
        </w:rPr>
        <w:instrText>ADDIN CSL_CITATION {"citationItems":[{"id":"ITEM-1","itemData":{"ISBN":"978-1-78074-468-1","author":[{"dropping-particle":"","family":"El-Fadl","given":"Khaled M. Abou","non-dropping-particle":"","parse-names":false,"suffix":""}],"id":"ITEM-1","issued":{"date-parts":[["2014"]]},"publisher":"Oneworld Publications","publisher-place":"London, England","title":"Speaking in God’s Name: Islamic Law, Authority, and Women","type":"book"},"uris":["http://www.mendeley.com/documents/?uuid=c0c7f2ff-6d36-4fab-881b-ea76b0dda430"]}],"mendeley":{"formattedCitation":"(El-Fadl, 2014)","plainTextFormattedCitation":"(El-Fadl, 2014)","previouslyFormattedCitation":"(El-Fadl, 2014)"},"properties":{"noteIndex":0},"schema":"https://github.com/citation-style-language/schema/raw/master/csl-citation.json"}</w:instrText>
      </w:r>
      <w:r w:rsidR="00B829C5" w:rsidRPr="00C55B9C">
        <w:rPr>
          <w:rFonts w:ascii="Palatino Linotype" w:hAnsi="Palatino Linotype" w:cs="Times New Roman"/>
          <w:sz w:val="24"/>
          <w:szCs w:val="24"/>
        </w:rPr>
        <w:fldChar w:fldCharType="separate"/>
      </w:r>
      <w:r w:rsidR="00B829C5" w:rsidRPr="00C55B9C">
        <w:rPr>
          <w:rFonts w:ascii="Palatino Linotype" w:hAnsi="Palatino Linotype" w:cs="Times New Roman"/>
          <w:sz w:val="24"/>
          <w:szCs w:val="24"/>
        </w:rPr>
        <w:t>(El-Fadl, 2014)</w:t>
      </w:r>
      <w:r w:rsidR="00B829C5" w:rsidRPr="00C55B9C">
        <w:rPr>
          <w:rFonts w:ascii="Palatino Linotype" w:hAnsi="Palatino Linotype" w:cs="Times New Roman"/>
          <w:sz w:val="24"/>
          <w:szCs w:val="24"/>
        </w:rPr>
        <w:fldChar w:fldCharType="end"/>
      </w:r>
      <w:r w:rsidRPr="00C55B9C">
        <w:rPr>
          <w:rFonts w:ascii="Palatino Linotype" w:hAnsi="Palatino Linotype" w:cs="Times New Roman"/>
          <w:sz w:val="24"/>
          <w:szCs w:val="24"/>
        </w:rPr>
        <w:t>. Tidak sistematis, maksudnya bahwa jalan yang ditempuh untuk kembali ke tradisi klasik ini tidak ditempuh secara terencana, terarah, atau terpola secara jelas. Disamping itu, peran tradisi klasik tidak dibahas secara terang-terangan dan apa adanya, perananya di masa modern ini dibiarkan tidak terarah dan tidak jelas. Sedangkan yang dimaksudkan dengan selektif dan oportunistik adalah memungut potongan-potongan tradisi tertentu dan menampilkannya untuk kepentingan dan justifikasi kepentingan garis pemikiran kelompoknya</w:t>
      </w:r>
      <w:r w:rsidR="00B829C5" w:rsidRPr="00C55B9C">
        <w:rPr>
          <w:rFonts w:ascii="Palatino Linotype" w:hAnsi="Palatino Linotype" w:cs="Times New Roman"/>
          <w:sz w:val="24"/>
          <w:szCs w:val="24"/>
        </w:rPr>
        <w:t xml:space="preserve"> </w:t>
      </w:r>
      <w:r w:rsidR="00B829C5" w:rsidRPr="00C55B9C">
        <w:rPr>
          <w:rFonts w:ascii="Palatino Linotype" w:hAnsi="Palatino Linotype" w:cs="Times New Roman"/>
          <w:sz w:val="24"/>
          <w:szCs w:val="24"/>
        </w:rPr>
        <w:fldChar w:fldCharType="begin" w:fldLock="1"/>
      </w:r>
      <w:r w:rsidR="00B829C5" w:rsidRPr="00C55B9C">
        <w:rPr>
          <w:rFonts w:ascii="Palatino Linotype" w:hAnsi="Palatino Linotype" w:cs="Times New Roman"/>
          <w:sz w:val="24"/>
          <w:szCs w:val="24"/>
        </w:rPr>
        <w:instrText>ADDIN CSL_CITATION {"citationItems":[{"id":"ITEM-1","itemData":{"ISBN":"978-1-78074-468-1","author":[{"dropping-particle":"","family":"El-Fadl","given":"Khaled M. Abou","non-dropping-particle":"","parse-names":false,"suffix":""}],"id":"ITEM-1","issued":{"date-parts":[["2014"]]},"publisher":"Oneworld Publications","publisher-place":"London, England","title":"Speaking in God’s Name: Islamic Law, Authority, and Women","type":"book"},"uris":["http://www.mendeley.com/documents/?uuid=c0c7f2ff-6d36-4fab-881b-ea76b0dda430"]}],"mendeley":{"formattedCitation":"(El-Fadl, 2014)","plainTextFormattedCitation":"(El-Fadl, 2014)","previouslyFormattedCitation":"(El-Fadl, 2014)"},"properties":{"noteIndex":0},"schema":"https://github.com/citation-style-language/schema/raw/master/csl-citation.json"}</w:instrText>
      </w:r>
      <w:r w:rsidR="00B829C5" w:rsidRPr="00C55B9C">
        <w:rPr>
          <w:rFonts w:ascii="Palatino Linotype" w:hAnsi="Palatino Linotype" w:cs="Times New Roman"/>
          <w:sz w:val="24"/>
          <w:szCs w:val="24"/>
        </w:rPr>
        <w:fldChar w:fldCharType="separate"/>
      </w:r>
      <w:r w:rsidR="00B829C5" w:rsidRPr="00C55B9C">
        <w:rPr>
          <w:rFonts w:ascii="Palatino Linotype" w:hAnsi="Palatino Linotype" w:cs="Times New Roman"/>
          <w:sz w:val="24"/>
          <w:szCs w:val="24"/>
        </w:rPr>
        <w:t>(El-Fadl, 2014)</w:t>
      </w:r>
      <w:r w:rsidR="00B829C5" w:rsidRPr="00C55B9C">
        <w:rPr>
          <w:rFonts w:ascii="Palatino Linotype" w:hAnsi="Palatino Linotype" w:cs="Times New Roman"/>
          <w:sz w:val="24"/>
          <w:szCs w:val="24"/>
        </w:rPr>
        <w:fldChar w:fldCharType="end"/>
      </w:r>
      <w:r w:rsidRPr="00C55B9C">
        <w:rPr>
          <w:rFonts w:ascii="Palatino Linotype" w:hAnsi="Palatino Linotype" w:cs="Times New Roman"/>
          <w:sz w:val="24"/>
          <w:szCs w:val="24"/>
        </w:rPr>
        <w:t xml:space="preserve">. </w:t>
      </w:r>
    </w:p>
    <w:p w:rsidR="00D757DA" w:rsidRPr="00C55B9C" w:rsidRDefault="00D757DA" w:rsidP="00A92285">
      <w:pPr>
        <w:spacing w:after="0" w:line="276" w:lineRule="auto"/>
        <w:jc w:val="center"/>
        <w:rPr>
          <w:rFonts w:ascii="Palatino Linotype" w:hAnsi="Palatino Linotype" w:cs="Times New Roman"/>
          <w:bCs/>
          <w:color w:val="000000" w:themeColor="text1"/>
          <w:sz w:val="24"/>
          <w:szCs w:val="24"/>
        </w:rPr>
      </w:pPr>
      <w:r w:rsidRPr="00C55B9C">
        <w:rPr>
          <w:rFonts w:ascii="Palatino Linotype" w:hAnsi="Palatino Linotype" w:cs="Times New Roman"/>
          <w:bCs/>
          <w:color w:val="000000" w:themeColor="text1"/>
          <w:sz w:val="24"/>
          <w:szCs w:val="24"/>
        </w:rPr>
        <w:pict>
          <v:shape id="_x0000_i1026" type="#_x0000_t75" style="width:249.75pt;height:249.75pt">
            <v:imagedata r:id="rId10" o:title="Otoritas, Otorotatif, Otoriter"/>
          </v:shape>
        </w:pict>
      </w:r>
    </w:p>
    <w:p w:rsidR="00D757DA" w:rsidRPr="00C55B9C" w:rsidRDefault="00D757DA" w:rsidP="005218FC">
      <w:pPr>
        <w:jc w:val="center"/>
        <w:rPr>
          <w:rFonts w:ascii="Palatino Linotype" w:hAnsi="Palatino Linotype" w:cs="Times New Roman"/>
          <w:bCs/>
          <w:color w:val="000000" w:themeColor="text1"/>
          <w:sz w:val="24"/>
          <w:szCs w:val="24"/>
        </w:rPr>
      </w:pPr>
      <w:r w:rsidRPr="00C55B9C">
        <w:rPr>
          <w:rFonts w:ascii="Palatino Linotype" w:hAnsi="Palatino Linotype" w:cs="Times New Roman"/>
          <w:bCs/>
          <w:color w:val="000000" w:themeColor="text1"/>
          <w:sz w:val="24"/>
          <w:szCs w:val="24"/>
        </w:rPr>
        <w:t>Gambar 2: Fatwa Otoriter Vs Fatwa Otoritatif</w:t>
      </w:r>
    </w:p>
    <w:p w:rsidR="00D757DA" w:rsidRPr="00C55B9C" w:rsidRDefault="00D757DA" w:rsidP="00A769E1">
      <w:pPr>
        <w:widowControl w:val="0"/>
        <w:spacing w:after="120" w:line="240" w:lineRule="auto"/>
        <w:ind w:firstLine="567"/>
        <w:jc w:val="both"/>
        <w:rPr>
          <w:rFonts w:ascii="Palatino Linotype" w:hAnsi="Palatino Linotype" w:cs="Times New Roman"/>
          <w:sz w:val="24"/>
          <w:szCs w:val="24"/>
        </w:rPr>
      </w:pPr>
      <w:r w:rsidRPr="00C55B9C">
        <w:rPr>
          <w:rFonts w:ascii="Palatino Linotype" w:hAnsi="Palatino Linotype" w:cs="Times New Roman"/>
          <w:sz w:val="24"/>
          <w:szCs w:val="24"/>
        </w:rPr>
        <w:lastRenderedPageBreak/>
        <w:t xml:space="preserve">Abou al-fadl memberikan contoh fatwa-fatwa yang dihasilkan dari ijtihad eksploitatif dari lembaga fatwa Saudi Arabia, yaitu </w:t>
      </w:r>
      <w:r w:rsidRPr="00A769E1">
        <w:rPr>
          <w:rFonts w:ascii="Palatino Linotype" w:hAnsi="Palatino Linotype" w:cs="Times New Roman"/>
          <w:i/>
          <w:iCs/>
          <w:sz w:val="24"/>
          <w:szCs w:val="24"/>
        </w:rPr>
        <w:t>al-Lajnah al-Da’imah li al-Buhuts al-‘ilmiyyah wa al-ifta’</w:t>
      </w:r>
      <w:r w:rsidRPr="00C55B9C">
        <w:rPr>
          <w:rFonts w:ascii="Palatino Linotype" w:hAnsi="Palatino Linotype" w:cs="Times New Roman"/>
          <w:sz w:val="24"/>
          <w:szCs w:val="24"/>
        </w:rPr>
        <w:t xml:space="preserve"> (Council for Scientific research and legal Opinions, CRLO), yang memiliki kecenderungan tidak konsisten dan sikap selektif. Pertama, tidak konsisten. Sebagai contoh, ada fatwa yang melarang perempuan menggunakan bra dengan tujuan untuk menipu. Menurut penilaian Abou al-fadl, bahwa dalil yang digunakan tidak relevan dan tidak konsisten dengan kenyataan. Karena bra memang digunakan untuk menutup organ tertentu perempuan, apakah tujuan untuk menutup ataukah menipu? Padahal, syariat secara tegas memerintahkan kaum muslimin untuk menutup aurat</w:t>
      </w:r>
      <w:r w:rsidR="00B829C5" w:rsidRPr="00C55B9C">
        <w:rPr>
          <w:rFonts w:ascii="Palatino Linotype" w:hAnsi="Palatino Linotype" w:cs="Times New Roman"/>
          <w:sz w:val="24"/>
          <w:szCs w:val="24"/>
        </w:rPr>
        <w:t xml:space="preserve"> </w:t>
      </w:r>
      <w:r w:rsidR="00B829C5" w:rsidRPr="00C55B9C">
        <w:rPr>
          <w:rFonts w:ascii="Palatino Linotype" w:hAnsi="Palatino Linotype" w:cs="Times New Roman"/>
          <w:sz w:val="24"/>
          <w:szCs w:val="24"/>
        </w:rPr>
        <w:fldChar w:fldCharType="begin" w:fldLock="1"/>
      </w:r>
      <w:r w:rsidR="00B829C5" w:rsidRPr="00C55B9C">
        <w:rPr>
          <w:rFonts w:ascii="Palatino Linotype" w:hAnsi="Palatino Linotype" w:cs="Times New Roman"/>
          <w:sz w:val="24"/>
          <w:szCs w:val="24"/>
        </w:rPr>
        <w:instrText>ADDIN CSL_CITATION {"citationItems":[{"id":"ITEM-1","itemData":{"ISBN":"978-1-78074-468-1","author":[{"dropping-particle":"","family":"El-Fadl","given":"Khaled M. Abou","non-dropping-particle":"","parse-names":false,"suffix":""}],"id":"ITEM-1","issued":{"date-parts":[["2014"]]},"publisher":"Oneworld Publications","publisher-place":"London, England","title":"Speaking in God’s Name: Islamic Law, Authority, and Women","type":"book"},"uris":["http://www.mendeley.com/documents/?uuid=c0c7f2ff-6d36-4fab-881b-ea76b0dda430"]}],"mendeley":{"formattedCitation":"(El-Fadl, 2014)","plainTextFormattedCitation":"(El-Fadl, 2014)","previouslyFormattedCitation":"(El-Fadl, 2014)"},"properties":{"noteIndex":0},"schema":"https://github.com/citation-style-language/schema/raw/master/csl-citation.json"}</w:instrText>
      </w:r>
      <w:r w:rsidR="00B829C5" w:rsidRPr="00C55B9C">
        <w:rPr>
          <w:rFonts w:ascii="Palatino Linotype" w:hAnsi="Palatino Linotype" w:cs="Times New Roman"/>
          <w:sz w:val="24"/>
          <w:szCs w:val="24"/>
        </w:rPr>
        <w:fldChar w:fldCharType="separate"/>
      </w:r>
      <w:r w:rsidR="00B829C5" w:rsidRPr="00C55B9C">
        <w:rPr>
          <w:rFonts w:ascii="Palatino Linotype" w:hAnsi="Palatino Linotype" w:cs="Times New Roman"/>
          <w:sz w:val="24"/>
          <w:szCs w:val="24"/>
        </w:rPr>
        <w:t>(El-Fadl, 2014)</w:t>
      </w:r>
      <w:r w:rsidR="00B829C5" w:rsidRPr="00C55B9C">
        <w:rPr>
          <w:rFonts w:ascii="Palatino Linotype" w:hAnsi="Palatino Linotype" w:cs="Times New Roman"/>
          <w:sz w:val="24"/>
          <w:szCs w:val="24"/>
        </w:rPr>
        <w:fldChar w:fldCharType="end"/>
      </w:r>
      <w:r w:rsidR="00B829C5" w:rsidRPr="00C55B9C">
        <w:rPr>
          <w:rFonts w:ascii="Palatino Linotype" w:hAnsi="Palatino Linotype" w:cs="Times New Roman"/>
          <w:sz w:val="24"/>
          <w:szCs w:val="24"/>
        </w:rPr>
        <w:t xml:space="preserve">. </w:t>
      </w:r>
      <w:r w:rsidRPr="00C55B9C">
        <w:rPr>
          <w:rFonts w:ascii="Palatino Linotype" w:hAnsi="Palatino Linotype" w:cs="Times New Roman"/>
          <w:sz w:val="24"/>
          <w:szCs w:val="24"/>
        </w:rPr>
        <w:t>Kedua, sikap selektif terhadap suatu dalil dan mengabaikan dalil yang lain</w:t>
      </w:r>
      <w:r w:rsidR="00B829C5" w:rsidRPr="00C55B9C">
        <w:rPr>
          <w:rFonts w:ascii="Palatino Linotype" w:hAnsi="Palatino Linotype" w:cs="Times New Roman"/>
          <w:sz w:val="24"/>
          <w:szCs w:val="24"/>
        </w:rPr>
        <w:fldChar w:fldCharType="begin" w:fldLock="1"/>
      </w:r>
      <w:r w:rsidR="00B829C5" w:rsidRPr="00C55B9C">
        <w:rPr>
          <w:rFonts w:ascii="Palatino Linotype" w:hAnsi="Palatino Linotype" w:cs="Times New Roman"/>
          <w:sz w:val="24"/>
          <w:szCs w:val="24"/>
        </w:rPr>
        <w:instrText>ADDIN CSL_CITATION {"citationItems":[{"id":"ITEM-1","itemData":{"ISBN":"978-1-78074-468-1","author":[{"dropping-particle":"","family":"El-Fadl","given":"Khaled M. Abou","non-dropping-particle":"","parse-names":false,"suffix":""}],"id":"ITEM-1","issued":{"date-parts":[["2014"]]},"publisher":"Oneworld Publications","publisher-place":"London, England","title":"Speaking in God’s Name: Islamic Law, Authority, and Women","type":"book"},"uris":["http://www.mendeley.com/documents/?uuid=c0c7f2ff-6d36-4fab-881b-ea76b0dda430"]}],"mendeley":{"formattedCitation":"(El-Fadl, 2014)","plainTextFormattedCitation":"(El-Fadl, 2014)","previouslyFormattedCitation":"(El-Fadl, 2014)"},"properties":{"noteIndex":0},"schema":"https://github.com/citation-style-language/schema/raw/master/csl-citation.json"}</w:instrText>
      </w:r>
      <w:r w:rsidR="00B829C5" w:rsidRPr="00C55B9C">
        <w:rPr>
          <w:rFonts w:ascii="Palatino Linotype" w:hAnsi="Palatino Linotype" w:cs="Times New Roman"/>
          <w:sz w:val="24"/>
          <w:szCs w:val="24"/>
        </w:rPr>
        <w:fldChar w:fldCharType="separate"/>
      </w:r>
      <w:r w:rsidR="00B829C5" w:rsidRPr="00C55B9C">
        <w:rPr>
          <w:rFonts w:ascii="Palatino Linotype" w:hAnsi="Palatino Linotype" w:cs="Times New Roman"/>
          <w:sz w:val="24"/>
          <w:szCs w:val="24"/>
        </w:rPr>
        <w:t>(El-Fadl, 2014)</w:t>
      </w:r>
      <w:r w:rsidR="00B829C5" w:rsidRPr="00C55B9C">
        <w:rPr>
          <w:rFonts w:ascii="Palatino Linotype" w:hAnsi="Palatino Linotype" w:cs="Times New Roman"/>
          <w:sz w:val="24"/>
          <w:szCs w:val="24"/>
        </w:rPr>
        <w:fldChar w:fldCharType="end"/>
      </w:r>
      <w:r w:rsidRPr="00C55B9C">
        <w:rPr>
          <w:rFonts w:ascii="Palatino Linotype" w:hAnsi="Palatino Linotype" w:cs="Times New Roman"/>
          <w:sz w:val="24"/>
          <w:szCs w:val="24"/>
        </w:rPr>
        <w:t>. Sebagai contoh, ada fatwa yang melarang perempuan untuk ziarah kubur. Menurut penilaian Abou al-fadl, bahwa dalil yang dipilih aneh, padahal ada dalil yang memperbolehkan perempuan ziarah yang dipegangi oleh mayoritas ulama</w:t>
      </w:r>
      <w:r w:rsidR="00B829C5" w:rsidRPr="00C55B9C">
        <w:rPr>
          <w:rFonts w:ascii="Palatino Linotype" w:hAnsi="Palatino Linotype" w:cs="Times New Roman"/>
          <w:sz w:val="24"/>
          <w:szCs w:val="24"/>
        </w:rPr>
        <w:t xml:space="preserve"> </w:t>
      </w:r>
      <w:r w:rsidR="00B829C5" w:rsidRPr="00C55B9C">
        <w:rPr>
          <w:rFonts w:ascii="Palatino Linotype" w:hAnsi="Palatino Linotype" w:cs="Times New Roman"/>
          <w:sz w:val="24"/>
          <w:szCs w:val="24"/>
        </w:rPr>
        <w:fldChar w:fldCharType="begin" w:fldLock="1"/>
      </w:r>
      <w:r w:rsidR="00B829C5" w:rsidRPr="00C55B9C">
        <w:rPr>
          <w:rFonts w:ascii="Palatino Linotype" w:hAnsi="Palatino Linotype" w:cs="Times New Roman"/>
          <w:sz w:val="24"/>
          <w:szCs w:val="24"/>
        </w:rPr>
        <w:instrText>ADDIN CSL_CITATION {"citationItems":[{"id":"ITEM-1","itemData":{"ISBN":"978-1-78074-468-1","author":[{"dropping-particle":"","family":"El-Fadl","given":"Khaled M. Abou","non-dropping-particle":"","parse-names":false,"suffix":""}],"id":"ITEM-1","issued":{"date-parts":[["2014"]]},"publisher":"Oneworld Publications","publisher-place":"London, England","title":"Speaking in God’s Name: Islamic Law, Authority, and Women","type":"book"},"uris":["http://www.mendeley.com/documents/?uuid=c0c7f2ff-6d36-4fab-881b-ea76b0dda430"]}],"mendeley":{"formattedCitation":"(El-Fadl, 2014)","plainTextFormattedCitation":"(El-Fadl, 2014)","previouslyFormattedCitation":"(El-Fadl, 2014)"},"properties":{"noteIndex":0},"schema":"https://github.com/citation-style-language/schema/raw/master/csl-citation.json"}</w:instrText>
      </w:r>
      <w:r w:rsidR="00B829C5" w:rsidRPr="00C55B9C">
        <w:rPr>
          <w:rFonts w:ascii="Palatino Linotype" w:hAnsi="Palatino Linotype" w:cs="Times New Roman"/>
          <w:sz w:val="24"/>
          <w:szCs w:val="24"/>
        </w:rPr>
        <w:fldChar w:fldCharType="separate"/>
      </w:r>
      <w:r w:rsidR="00B829C5" w:rsidRPr="00C55B9C">
        <w:rPr>
          <w:rFonts w:ascii="Palatino Linotype" w:hAnsi="Palatino Linotype" w:cs="Times New Roman"/>
          <w:sz w:val="24"/>
          <w:szCs w:val="24"/>
        </w:rPr>
        <w:t>(El-Fadl, 2014)</w:t>
      </w:r>
      <w:r w:rsidR="00B829C5" w:rsidRPr="00C55B9C">
        <w:rPr>
          <w:rFonts w:ascii="Palatino Linotype" w:hAnsi="Palatino Linotype" w:cs="Times New Roman"/>
          <w:sz w:val="24"/>
          <w:szCs w:val="24"/>
        </w:rPr>
        <w:fldChar w:fldCharType="end"/>
      </w:r>
      <w:r w:rsidRPr="00C55B9C">
        <w:rPr>
          <w:rFonts w:ascii="Palatino Linotype" w:hAnsi="Palatino Linotype" w:cs="Times New Roman"/>
          <w:sz w:val="24"/>
          <w:szCs w:val="24"/>
        </w:rPr>
        <w:t>.</w:t>
      </w:r>
      <w:r w:rsidR="00B829C5" w:rsidRPr="00C55B9C">
        <w:rPr>
          <w:rFonts w:ascii="Palatino Linotype" w:hAnsi="Palatino Linotype" w:cs="Times New Roman"/>
          <w:sz w:val="24"/>
          <w:szCs w:val="24"/>
        </w:rPr>
        <w:t xml:space="preserve"> </w:t>
      </w:r>
      <w:r w:rsidRPr="00C55B9C">
        <w:rPr>
          <w:rFonts w:ascii="Palatino Linotype" w:hAnsi="Palatino Linotype" w:cs="Times New Roman"/>
          <w:sz w:val="24"/>
          <w:szCs w:val="24"/>
        </w:rPr>
        <w:t>Contoh lainya, ada fatwa tentang larangan bepergian bagi perempuan. Hadis yang dijadikan landasan bagi fatwa ini, menurut Abou al-fadl merupakan hadis berillat, maksudnya larangan pebergian bagi perempuan karena factor ketidakamanan</w:t>
      </w:r>
      <w:r w:rsidR="00B829C5" w:rsidRPr="00C55B9C">
        <w:rPr>
          <w:rFonts w:ascii="Palatino Linotype" w:hAnsi="Palatino Linotype" w:cs="Times New Roman"/>
          <w:sz w:val="24"/>
          <w:szCs w:val="24"/>
        </w:rPr>
        <w:t xml:space="preserve"> </w:t>
      </w:r>
      <w:r w:rsidR="00B829C5" w:rsidRPr="00C55B9C">
        <w:rPr>
          <w:rFonts w:ascii="Palatino Linotype" w:hAnsi="Palatino Linotype" w:cs="Times New Roman"/>
          <w:sz w:val="24"/>
          <w:szCs w:val="24"/>
        </w:rPr>
        <w:fldChar w:fldCharType="begin" w:fldLock="1"/>
      </w:r>
      <w:r w:rsidR="00B829C5" w:rsidRPr="00C55B9C">
        <w:rPr>
          <w:rFonts w:ascii="Palatino Linotype" w:hAnsi="Palatino Linotype" w:cs="Times New Roman"/>
          <w:sz w:val="24"/>
          <w:szCs w:val="24"/>
        </w:rPr>
        <w:instrText>ADDIN CSL_CITATION {"citationItems":[{"id":"ITEM-1","itemData":{"ISBN":"978-1-78074-468-1","author":[{"dropping-particle":"","family":"El-Fadl","given":"Khaled M. Abou","non-dropping-particle":"","parse-names":false,"suffix":""}],"id":"ITEM-1","issued":{"date-parts":[["2014"]]},"publisher":"Oneworld Publications","publisher-place":"London, England","title":"Speaking in God’s Name: Islamic Law, Authority, and Women","type":"book"},"uris":["http://www.mendeley.com/documents/?uuid=c0c7f2ff-6d36-4fab-881b-ea76b0dda430"]}],"mendeley":{"formattedCitation":"(El-Fadl, 2014)","plainTextFormattedCitation":"(El-Fadl, 2014)","previouslyFormattedCitation":"(El-Fadl, 2014)"},"properties":{"noteIndex":0},"schema":"https://github.com/citation-style-language/schema/raw/master/csl-citation.json"}</w:instrText>
      </w:r>
      <w:r w:rsidR="00B829C5" w:rsidRPr="00C55B9C">
        <w:rPr>
          <w:rFonts w:ascii="Palatino Linotype" w:hAnsi="Palatino Linotype" w:cs="Times New Roman"/>
          <w:sz w:val="24"/>
          <w:szCs w:val="24"/>
        </w:rPr>
        <w:fldChar w:fldCharType="separate"/>
      </w:r>
      <w:r w:rsidR="00B829C5" w:rsidRPr="00C55B9C">
        <w:rPr>
          <w:rFonts w:ascii="Palatino Linotype" w:hAnsi="Palatino Linotype" w:cs="Times New Roman"/>
          <w:sz w:val="24"/>
          <w:szCs w:val="24"/>
        </w:rPr>
        <w:t>(El-Fadl, 2014)</w:t>
      </w:r>
      <w:r w:rsidR="00B829C5" w:rsidRPr="00C55B9C">
        <w:rPr>
          <w:rFonts w:ascii="Palatino Linotype" w:hAnsi="Palatino Linotype" w:cs="Times New Roman"/>
          <w:sz w:val="24"/>
          <w:szCs w:val="24"/>
        </w:rPr>
        <w:fldChar w:fldCharType="end"/>
      </w:r>
      <w:r w:rsidRPr="00C55B9C">
        <w:rPr>
          <w:rFonts w:ascii="Palatino Linotype" w:hAnsi="Palatino Linotype" w:cs="Times New Roman"/>
          <w:sz w:val="24"/>
          <w:szCs w:val="24"/>
        </w:rPr>
        <w:t>. Contoh lainya, ada fatwa tentang larangan bertepuk tangan bagi perempuan. Dalil yang digunakan tentang tasybih (penyerupaan) terhadap orang kafir, padahal Nabi SAW memerintahkan perempuan bertepuk tangan untuk mengingatkan orang lupa dalam shalat</w:t>
      </w:r>
      <w:r w:rsidR="00B829C5" w:rsidRPr="00C55B9C">
        <w:rPr>
          <w:rFonts w:ascii="Palatino Linotype" w:hAnsi="Palatino Linotype" w:cs="Times New Roman"/>
          <w:sz w:val="24"/>
          <w:szCs w:val="24"/>
        </w:rPr>
        <w:t xml:space="preserve"> </w:t>
      </w:r>
      <w:r w:rsidR="00B829C5" w:rsidRPr="00C55B9C">
        <w:rPr>
          <w:rFonts w:ascii="Palatino Linotype" w:hAnsi="Palatino Linotype" w:cs="Times New Roman"/>
          <w:sz w:val="24"/>
          <w:szCs w:val="24"/>
        </w:rPr>
        <w:fldChar w:fldCharType="begin" w:fldLock="1"/>
      </w:r>
      <w:r w:rsidR="00B829C5" w:rsidRPr="00C55B9C">
        <w:rPr>
          <w:rFonts w:ascii="Palatino Linotype" w:hAnsi="Palatino Linotype" w:cs="Times New Roman"/>
          <w:sz w:val="24"/>
          <w:szCs w:val="24"/>
        </w:rPr>
        <w:instrText>ADDIN CSL_CITATION {"citationItems":[{"id":"ITEM-1","itemData":{"ISBN":"978-1-78074-468-1","author":[{"dropping-particle":"","family":"El-Fadl","given":"Khaled M. Abou","non-dropping-particle":"","parse-names":false,"suffix":""}],"id":"ITEM-1","issued":{"date-parts":[["2014"]]},"publisher":"Oneworld Publications","publisher-place":"London, England","title":"Speaking in God’s Name: Islamic Law, Authority, and Women","type":"book"},"uris":["http://www.mendeley.com/documents/?uuid=c0c7f2ff-6d36-4fab-881b-ea76b0dda430"]}],"mendeley":{"formattedCitation":"(El-Fadl, 2014)","plainTextFormattedCitation":"(El-Fadl, 2014)","previouslyFormattedCitation":"(El-Fadl, 2014)"},"properties":{"noteIndex":0},"schema":"https://github.com/citation-style-language/schema/raw/master/csl-citation.json"}</w:instrText>
      </w:r>
      <w:r w:rsidR="00B829C5" w:rsidRPr="00C55B9C">
        <w:rPr>
          <w:rFonts w:ascii="Palatino Linotype" w:hAnsi="Palatino Linotype" w:cs="Times New Roman"/>
          <w:sz w:val="24"/>
          <w:szCs w:val="24"/>
        </w:rPr>
        <w:fldChar w:fldCharType="separate"/>
      </w:r>
      <w:r w:rsidR="00B829C5" w:rsidRPr="00C55B9C">
        <w:rPr>
          <w:rFonts w:ascii="Palatino Linotype" w:hAnsi="Palatino Linotype" w:cs="Times New Roman"/>
          <w:sz w:val="24"/>
          <w:szCs w:val="24"/>
        </w:rPr>
        <w:t>(El-Fadl, 2014)</w:t>
      </w:r>
      <w:r w:rsidR="00B829C5" w:rsidRPr="00C55B9C">
        <w:rPr>
          <w:rFonts w:ascii="Palatino Linotype" w:hAnsi="Palatino Linotype" w:cs="Times New Roman"/>
          <w:sz w:val="24"/>
          <w:szCs w:val="24"/>
        </w:rPr>
        <w:fldChar w:fldCharType="end"/>
      </w:r>
      <w:r w:rsidRPr="00C55B9C">
        <w:rPr>
          <w:rFonts w:ascii="Palatino Linotype" w:hAnsi="Palatino Linotype" w:cs="Times New Roman"/>
          <w:sz w:val="24"/>
          <w:szCs w:val="24"/>
        </w:rPr>
        <w:t xml:space="preserve">. </w:t>
      </w:r>
    </w:p>
    <w:p w:rsidR="00D757DA" w:rsidRPr="00C55B9C" w:rsidRDefault="00D757DA" w:rsidP="00A60348">
      <w:pPr>
        <w:spacing w:after="0" w:line="276" w:lineRule="auto"/>
        <w:ind w:firstLine="360"/>
        <w:jc w:val="both"/>
        <w:rPr>
          <w:rFonts w:ascii="Palatino Linotype" w:hAnsi="Palatino Linotype" w:cs="Times New Roman"/>
          <w:sz w:val="24"/>
          <w:szCs w:val="24"/>
        </w:rPr>
      </w:pPr>
    </w:p>
    <w:p w:rsidR="00D757DA" w:rsidRPr="00C55B9C" w:rsidRDefault="00D757DA" w:rsidP="00A42CB3">
      <w:pPr>
        <w:pStyle w:val="Heading4"/>
        <w:numPr>
          <w:ilvl w:val="0"/>
          <w:numId w:val="16"/>
        </w:numPr>
        <w:rPr>
          <w:rFonts w:ascii="Palatino Linotype" w:hAnsi="Palatino Linotype"/>
          <w:color w:val="000000" w:themeColor="text1"/>
          <w:sz w:val="24"/>
          <w:szCs w:val="24"/>
        </w:rPr>
      </w:pPr>
      <w:r w:rsidRPr="00C55B9C">
        <w:rPr>
          <w:rFonts w:ascii="Palatino Linotype" w:hAnsi="Palatino Linotype"/>
          <w:color w:val="000000" w:themeColor="text1"/>
          <w:sz w:val="24"/>
          <w:szCs w:val="24"/>
        </w:rPr>
        <w:t>Pendekatan Sistem Jasser Auda</w:t>
      </w:r>
    </w:p>
    <w:p w:rsidR="00D757DA" w:rsidRPr="00C55B9C" w:rsidRDefault="00D757DA" w:rsidP="00A769E1">
      <w:pPr>
        <w:widowControl w:val="0"/>
        <w:spacing w:after="120" w:line="240" w:lineRule="auto"/>
        <w:ind w:firstLine="567"/>
        <w:jc w:val="both"/>
        <w:rPr>
          <w:rFonts w:ascii="Palatino Linotype" w:hAnsi="Palatino Linotype" w:cs="Times New Roman"/>
          <w:sz w:val="24"/>
          <w:szCs w:val="24"/>
        </w:rPr>
      </w:pPr>
      <w:r w:rsidRPr="00C55B9C">
        <w:rPr>
          <w:rFonts w:ascii="Palatino Linotype" w:hAnsi="Palatino Linotype" w:cs="Times New Roman"/>
          <w:sz w:val="24"/>
          <w:szCs w:val="24"/>
        </w:rPr>
        <w:t>Jasser Auda menawarkan teori dan pendekatan system dalam studi hokum Islam, yang merupakan terobosan baru di tengah atomisme dan parsialisme penalaran ijtihad selama ini. Kerangka teori system mengandaikan keterkaitan dan keterhubungan beragam unit yang ada dan dilihat secara holistic sebagai-bagian yang tidak terpisahkan. Jasser Auda mengungkapan sebagai berikut:</w:t>
      </w:r>
    </w:p>
    <w:p w:rsidR="00D757DA" w:rsidRPr="00BA7706" w:rsidRDefault="00D757DA" w:rsidP="00BA7706">
      <w:pPr>
        <w:spacing w:after="0" w:line="240" w:lineRule="auto"/>
        <w:ind w:left="567" w:firstLine="360"/>
        <w:jc w:val="both"/>
        <w:rPr>
          <w:rFonts w:ascii="Palatino Linotype" w:hAnsi="Palatino Linotype" w:cs="Times New Roman"/>
          <w:i/>
          <w:iCs/>
          <w:sz w:val="24"/>
          <w:szCs w:val="24"/>
        </w:rPr>
      </w:pPr>
      <w:r w:rsidRPr="00BA7706">
        <w:rPr>
          <w:rStyle w:val="fontstyle01"/>
          <w:rFonts w:ascii="Palatino Linotype" w:hAnsi="Palatino Linotype" w:cs="Times New Roman"/>
          <w:i/>
          <w:iCs/>
          <w:sz w:val="24"/>
          <w:szCs w:val="24"/>
        </w:rPr>
        <w:t>A common definition of a system is, ‘a set of interacting units or elements that form an integrated whole intended to perform some function.’Thus, systematic analysis typically involves the identification of units, elements, or sub-systems, and how these units are</w:t>
      </w:r>
      <w:r w:rsidR="00A769E1" w:rsidRPr="00BA7706">
        <w:rPr>
          <w:rStyle w:val="fontstyle01"/>
          <w:rFonts w:ascii="Palatino Linotype" w:hAnsi="Palatino Linotype" w:cs="Times New Roman"/>
          <w:i/>
          <w:iCs/>
          <w:sz w:val="24"/>
          <w:szCs w:val="24"/>
        </w:rPr>
        <w:t xml:space="preserve"> </w:t>
      </w:r>
      <w:r w:rsidRPr="00BA7706">
        <w:rPr>
          <w:rStyle w:val="fontstyle01"/>
          <w:rFonts w:ascii="Palatino Linotype" w:hAnsi="Palatino Linotype" w:cs="Times New Roman"/>
          <w:i/>
          <w:iCs/>
          <w:sz w:val="24"/>
          <w:szCs w:val="24"/>
        </w:rPr>
        <w:t>interrelated and integrated in processes or functions.</w:t>
      </w:r>
      <w:r w:rsidRPr="00BA7706">
        <w:rPr>
          <w:rFonts w:ascii="Palatino Linotype" w:hAnsi="Palatino Linotype" w:cs="Times New Roman"/>
          <w:i/>
          <w:iCs/>
          <w:sz w:val="24"/>
          <w:szCs w:val="24"/>
        </w:rPr>
        <w:t xml:space="preserve"> (Teori atau pendekatan system adalah serangkaian interaksi unit-unit atau elemen-elemen yang membentuk sebuah keseluruhan terintegrasi yang dirancang untuk melaksanakan beberapa fungsi. Jadi analisis sistematis secara tipikal meilabtkan identifikasi unit-unit, elemen-elemen, atau subsistem-subsistem, dan bagaimana unit-unit itu berhubungan dan berintegrasi dalam melaksanakan proses-prseos dan fungsi-funsgi tertentu)</w:t>
      </w:r>
      <w:r w:rsidR="00B829C5" w:rsidRPr="00BA7706">
        <w:rPr>
          <w:rFonts w:ascii="Palatino Linotype" w:hAnsi="Palatino Linotype" w:cs="Times New Roman"/>
          <w:i/>
          <w:iCs/>
          <w:sz w:val="24"/>
          <w:szCs w:val="24"/>
        </w:rPr>
        <w:t xml:space="preserve"> </w:t>
      </w:r>
      <w:r w:rsidR="00B829C5" w:rsidRPr="00BA7706">
        <w:rPr>
          <w:rFonts w:ascii="Palatino Linotype" w:hAnsi="Palatino Linotype" w:cs="Times New Roman"/>
          <w:i/>
          <w:iCs/>
          <w:sz w:val="24"/>
          <w:szCs w:val="24"/>
        </w:rPr>
        <w:fldChar w:fldCharType="begin" w:fldLock="1"/>
      </w:r>
      <w:r w:rsidR="00B829C5" w:rsidRPr="00BA7706">
        <w:rPr>
          <w:rFonts w:ascii="Palatino Linotype" w:hAnsi="Palatino Linotype" w:cs="Times New Roman"/>
          <w:i/>
          <w:iCs/>
          <w:sz w:val="24"/>
          <w:szCs w:val="24"/>
        </w:rPr>
        <w:instrText>ADDIN CSL_CITATION {"citationItems":[{"id":"ITEM-1","itemData":{"ISBN":"978–1–56564–424–3","author":[{"dropping-particle":"","family":"Auda","given":"Jasser","non-dropping-particle":"","parse-names":false,"suffix":""}],"edition":"1","id":"ITEM-1","issued":{"date-parts":[["2007"]]},"publisher":"The International Institute of Islamic Thought","publisher-place":"London, England","title":"Maqasid al-Shariah as Philosophy of Islamic Law: A System Approach","type":"book"},"uris":["http://www.mendeley.com/documents/?uuid=021a9711-7b60-460e-b876-e8b60e2bc8f8"]}],"mendeley":{"formattedCitation":"(Auda, 2007)","plainTextFormattedCitation":"(Auda, 2007)","previouslyFormattedCitation":"(Auda, 2007)"},"properties":{"noteIndex":0},"schema":"https://github.com/citation-style-language/schema/raw/master/csl-citation.json"}</w:instrText>
      </w:r>
      <w:r w:rsidR="00B829C5" w:rsidRPr="00BA7706">
        <w:rPr>
          <w:rFonts w:ascii="Palatino Linotype" w:hAnsi="Palatino Linotype" w:cs="Times New Roman"/>
          <w:i/>
          <w:iCs/>
          <w:sz w:val="24"/>
          <w:szCs w:val="24"/>
        </w:rPr>
        <w:fldChar w:fldCharType="separate"/>
      </w:r>
      <w:r w:rsidR="00B829C5" w:rsidRPr="00BA7706">
        <w:rPr>
          <w:rFonts w:ascii="Palatino Linotype" w:hAnsi="Palatino Linotype" w:cs="Times New Roman"/>
          <w:i/>
          <w:iCs/>
          <w:noProof/>
          <w:sz w:val="24"/>
          <w:szCs w:val="24"/>
        </w:rPr>
        <w:t>(Auda, 2007)</w:t>
      </w:r>
      <w:r w:rsidR="00B829C5" w:rsidRPr="00BA7706">
        <w:rPr>
          <w:rFonts w:ascii="Palatino Linotype" w:hAnsi="Palatino Linotype" w:cs="Times New Roman"/>
          <w:i/>
          <w:iCs/>
          <w:sz w:val="24"/>
          <w:szCs w:val="24"/>
        </w:rPr>
        <w:fldChar w:fldCharType="end"/>
      </w:r>
      <w:r w:rsidRPr="00BA7706">
        <w:rPr>
          <w:rFonts w:ascii="Palatino Linotype" w:hAnsi="Palatino Linotype" w:cs="Times New Roman"/>
          <w:i/>
          <w:iCs/>
          <w:sz w:val="24"/>
          <w:szCs w:val="24"/>
        </w:rPr>
        <w:t>.</w:t>
      </w:r>
    </w:p>
    <w:p w:rsidR="00D757DA" w:rsidRPr="00C55B9C" w:rsidRDefault="00D757DA" w:rsidP="00A769E1">
      <w:pPr>
        <w:widowControl w:val="0"/>
        <w:spacing w:after="120" w:line="240" w:lineRule="auto"/>
        <w:ind w:firstLine="567"/>
        <w:jc w:val="both"/>
        <w:rPr>
          <w:rFonts w:ascii="Palatino Linotype" w:hAnsi="Palatino Linotype" w:cs="Times New Roman"/>
          <w:sz w:val="24"/>
          <w:szCs w:val="24"/>
        </w:rPr>
      </w:pPr>
      <w:r w:rsidRPr="00C55B9C">
        <w:rPr>
          <w:rFonts w:ascii="Palatino Linotype" w:hAnsi="Palatino Linotype" w:cs="Times New Roman"/>
          <w:sz w:val="24"/>
          <w:szCs w:val="24"/>
        </w:rPr>
        <w:t xml:space="preserve">Untuk memperkuat teori system yang selama ini sudah berkembang dan digunakan dalam berbagai cabang ilmu pengetahuan, Jasser Auda mengelaborasi dan </w:t>
      </w:r>
      <w:r w:rsidRPr="00C55B9C">
        <w:rPr>
          <w:rFonts w:ascii="Palatino Linotype" w:hAnsi="Palatino Linotype" w:cs="Times New Roman"/>
          <w:sz w:val="24"/>
          <w:szCs w:val="24"/>
        </w:rPr>
        <w:lastRenderedPageBreak/>
        <w:t>memperkuat kerja teori sistem yang menurutnya masih sederhana dengan tambahan fitur-fitur tertentu. Dengan menambahkan fitur tertentu ke dalam teori system, menurut Jasser Auda diharapkan dapat memperkuat analisis hokum Islam yang terintegrasi dan holistic. Dengan demikian, teori system merupakan suatu pendekatan yang melihat kerangka hokum Islam dengan fitur-fitur sebagai berikut, yaitu: hokum Islam sebagai watak kognitif (</w:t>
      </w:r>
      <w:r w:rsidRPr="00C55B9C">
        <w:rPr>
          <w:rFonts w:ascii="Palatino Linotype" w:hAnsi="Palatino Linotype" w:cs="Times New Roman"/>
          <w:i/>
          <w:iCs/>
          <w:sz w:val="24"/>
          <w:szCs w:val="24"/>
        </w:rPr>
        <w:t>cognitive nature</w:t>
      </w:r>
      <w:r w:rsidRPr="00C55B9C">
        <w:rPr>
          <w:rFonts w:ascii="Palatino Linotype" w:hAnsi="Palatino Linotype" w:cs="Times New Roman"/>
          <w:sz w:val="24"/>
          <w:szCs w:val="24"/>
        </w:rPr>
        <w:t>) yaitu bahwa keilmuan hokum Islam senantiasa melibatkan intervensi dan campur tangan kognisi manusia, melihat persoalan secara utuh (</w:t>
      </w:r>
      <w:r w:rsidRPr="00C55B9C">
        <w:rPr>
          <w:rFonts w:ascii="Palatino Linotype" w:hAnsi="Palatino Linotype" w:cs="Times New Roman"/>
          <w:i/>
          <w:iCs/>
          <w:sz w:val="24"/>
          <w:szCs w:val="24"/>
        </w:rPr>
        <w:t>wholeness</w:t>
      </w:r>
      <w:r w:rsidRPr="00C55B9C">
        <w:rPr>
          <w:rFonts w:ascii="Palatino Linotype" w:hAnsi="Palatino Linotype" w:cs="Times New Roman"/>
          <w:sz w:val="24"/>
          <w:szCs w:val="24"/>
        </w:rPr>
        <w:t>), selalu terbuka terhadap berbagai kemungkinan perbaikan dan penyempurnaan (</w:t>
      </w:r>
      <w:r w:rsidRPr="00C55B9C">
        <w:rPr>
          <w:rFonts w:ascii="Palatino Linotype" w:hAnsi="Palatino Linotype" w:cs="Times New Roman"/>
          <w:i/>
          <w:iCs/>
          <w:sz w:val="24"/>
          <w:szCs w:val="24"/>
        </w:rPr>
        <w:t>openness</w:t>
      </w:r>
      <w:r w:rsidRPr="00C55B9C">
        <w:rPr>
          <w:rFonts w:ascii="Palatino Linotype" w:hAnsi="Palatino Linotype" w:cs="Times New Roman"/>
          <w:sz w:val="24"/>
          <w:szCs w:val="24"/>
        </w:rPr>
        <w:t>), saling berkaitan antara nilai-nilai (</w:t>
      </w:r>
      <w:r w:rsidRPr="00C55B9C">
        <w:rPr>
          <w:rFonts w:ascii="Palatino Linotype" w:hAnsi="Palatino Linotype" w:cs="Times New Roman"/>
          <w:i/>
          <w:iCs/>
          <w:sz w:val="24"/>
          <w:szCs w:val="24"/>
        </w:rPr>
        <w:t>interrelated-hierarchy</w:t>
      </w:r>
      <w:r w:rsidRPr="00C55B9C">
        <w:rPr>
          <w:rFonts w:ascii="Palatino Linotype" w:hAnsi="Palatino Linotype" w:cs="Times New Roman"/>
          <w:sz w:val="24"/>
          <w:szCs w:val="24"/>
        </w:rPr>
        <w:t>), melibatkan berbagai dimensi (</w:t>
      </w:r>
      <w:r w:rsidRPr="00C55B9C">
        <w:rPr>
          <w:rFonts w:ascii="Palatino Linotype" w:hAnsi="Palatino Linotype" w:cs="Times New Roman"/>
          <w:i/>
          <w:iCs/>
          <w:sz w:val="24"/>
          <w:szCs w:val="24"/>
        </w:rPr>
        <w:t>multidimensionality</w:t>
      </w:r>
      <w:r w:rsidRPr="00C55B9C">
        <w:rPr>
          <w:rFonts w:ascii="Palatino Linotype" w:hAnsi="Palatino Linotype" w:cs="Times New Roman"/>
          <w:sz w:val="24"/>
          <w:szCs w:val="24"/>
        </w:rPr>
        <w:t>), dan mengutamakan dan mendahulukan tujuan pokok (</w:t>
      </w:r>
      <w:r w:rsidRPr="00C55B9C">
        <w:rPr>
          <w:rFonts w:ascii="Palatino Linotype" w:hAnsi="Palatino Linotype" w:cs="Times New Roman"/>
          <w:i/>
          <w:iCs/>
          <w:sz w:val="24"/>
          <w:szCs w:val="24"/>
        </w:rPr>
        <w:t>purposefulness</w:t>
      </w:r>
      <w:r w:rsidRPr="00C55B9C">
        <w:rPr>
          <w:rFonts w:ascii="Palatino Linotype" w:hAnsi="Palatino Linotype" w:cs="Times New Roman"/>
          <w:sz w:val="24"/>
          <w:szCs w:val="24"/>
        </w:rPr>
        <w:t>)</w:t>
      </w:r>
      <w:r w:rsidR="00E6798F" w:rsidRPr="00C55B9C">
        <w:rPr>
          <w:rFonts w:ascii="Palatino Linotype" w:hAnsi="Palatino Linotype" w:cs="Times New Roman"/>
          <w:sz w:val="24"/>
          <w:szCs w:val="24"/>
        </w:rPr>
        <w:t xml:space="preserve"> </w:t>
      </w:r>
      <w:r w:rsidR="00E6798F" w:rsidRPr="00C55B9C">
        <w:rPr>
          <w:rFonts w:ascii="Palatino Linotype" w:hAnsi="Palatino Linotype" w:cs="Times New Roman"/>
          <w:sz w:val="24"/>
          <w:szCs w:val="24"/>
        </w:rPr>
        <w:fldChar w:fldCharType="begin" w:fldLock="1"/>
      </w:r>
      <w:r w:rsidR="00E6798F" w:rsidRPr="00C55B9C">
        <w:rPr>
          <w:rFonts w:ascii="Palatino Linotype" w:hAnsi="Palatino Linotype" w:cs="Times New Roman"/>
          <w:sz w:val="24"/>
          <w:szCs w:val="24"/>
        </w:rPr>
        <w:instrText>ADDIN CSL_CITATION {"citationItems":[{"id":"ITEM-1","itemData":{"ISBN":"978-623-91744-2-2","author":[{"dropping-particle":"","family":"Abdullah","given":"M. Amin","non-dropping-particle":"","parse-names":false,"suffix":""}],"edition":"2","editor":[{"dropping-particle":"","family":"Khoirudin","given":"Azaki","non-dropping-particle":"","parse-names":false,"suffix":""}],"id":"ITEM-1","issued":{"date-parts":[["2020"]]},"publisher":"IB Pustaka","publisher-place":"Yogyakarta, Indonesia","title":"Multidisiplin, Interdisiplin, dan Transdisiplin: Metode Studi Agama dan Studi Islam di Era Kontemporer","type":"book"},"uris":["http://www.mendeley.com/documents/?uuid=aebf2980-43e5-4371-b6e1-892794f1084f"]}],"mendeley":{"formattedCitation":"(Abdullah, 2020)","plainTextFormattedCitation":"(Abdullah, 2020)","previouslyFormattedCitation":"(Abdullah, 2020)"},"properties":{"noteIndex":0},"schema":"https://github.com/citation-style-language/schema/raw/master/csl-citation.json"}</w:instrText>
      </w:r>
      <w:r w:rsidR="00E6798F" w:rsidRPr="00C55B9C">
        <w:rPr>
          <w:rFonts w:ascii="Palatino Linotype" w:hAnsi="Palatino Linotype" w:cs="Times New Roman"/>
          <w:sz w:val="24"/>
          <w:szCs w:val="24"/>
        </w:rPr>
        <w:fldChar w:fldCharType="separate"/>
      </w:r>
      <w:r w:rsidR="00E6798F" w:rsidRPr="00C55B9C">
        <w:rPr>
          <w:rFonts w:ascii="Palatino Linotype" w:hAnsi="Palatino Linotype" w:cs="Times New Roman"/>
          <w:noProof/>
          <w:sz w:val="24"/>
          <w:szCs w:val="24"/>
        </w:rPr>
        <w:t>(Abdullah, 2020)</w:t>
      </w:r>
      <w:r w:rsidR="00E6798F" w:rsidRPr="00C55B9C">
        <w:rPr>
          <w:rFonts w:ascii="Palatino Linotype" w:hAnsi="Palatino Linotype" w:cs="Times New Roman"/>
          <w:sz w:val="24"/>
          <w:szCs w:val="24"/>
        </w:rPr>
        <w:fldChar w:fldCharType="end"/>
      </w:r>
      <w:r w:rsidRPr="00C55B9C">
        <w:rPr>
          <w:rFonts w:ascii="Palatino Linotype" w:hAnsi="Palatino Linotype" w:cs="Times New Roman"/>
          <w:sz w:val="24"/>
          <w:szCs w:val="24"/>
        </w:rPr>
        <w:t>. Keenam fitur ini oleh Jasser Auda</w:t>
      </w:r>
      <w:r w:rsidR="00E6798F" w:rsidRPr="00C55B9C">
        <w:rPr>
          <w:rFonts w:ascii="Palatino Linotype" w:hAnsi="Palatino Linotype" w:cs="Times New Roman"/>
          <w:sz w:val="24"/>
          <w:szCs w:val="24"/>
        </w:rPr>
        <w:t xml:space="preserve"> </w:t>
      </w:r>
      <w:r w:rsidRPr="00C55B9C">
        <w:rPr>
          <w:rFonts w:ascii="Palatino Linotype" w:hAnsi="Palatino Linotype" w:cs="Times New Roman"/>
          <w:sz w:val="24"/>
          <w:szCs w:val="24"/>
        </w:rPr>
        <w:t>dan M. Amin Abdullah disebut sebagai fitur-fitur pendekatan system</w:t>
      </w:r>
      <w:r w:rsidR="00E6798F" w:rsidRPr="00C55B9C">
        <w:rPr>
          <w:rFonts w:ascii="Palatino Linotype" w:hAnsi="Palatino Linotype" w:cs="Times New Roman"/>
          <w:sz w:val="24"/>
          <w:szCs w:val="24"/>
        </w:rPr>
        <w:t xml:space="preserve"> </w:t>
      </w:r>
      <w:r w:rsidR="00E6798F" w:rsidRPr="00C55B9C">
        <w:rPr>
          <w:rFonts w:ascii="Palatino Linotype" w:hAnsi="Palatino Linotype" w:cs="Times New Roman"/>
          <w:sz w:val="24"/>
          <w:szCs w:val="24"/>
        </w:rPr>
        <w:fldChar w:fldCharType="begin" w:fldLock="1"/>
      </w:r>
      <w:r w:rsidR="00E6798F" w:rsidRPr="00C55B9C">
        <w:rPr>
          <w:rFonts w:ascii="Palatino Linotype" w:hAnsi="Palatino Linotype" w:cs="Times New Roman"/>
          <w:sz w:val="24"/>
          <w:szCs w:val="24"/>
        </w:rPr>
        <w:instrText>ADDIN CSL_CITATION {"citationItems":[{"id":"ITEM-1","itemData":{"ISBN":"978-979-4339-02-2","author":[{"dropping-particle":"","family":"Auda","given":"Jasser","non-dropping-particle":"","parse-names":false,"suffix":""}],"edition":"1","editor":[{"dropping-particle":"","family":"Rosidin","given":"","non-dropping-particle":"","parse-names":false,"suffix":""},{"dropping-particle":"","family":"El-Mun'im","given":"Ali Abd","non-dropping-particle":"","parse-names":false,"suffix":""},{"dropping-particle":"","family":"Baiquni","given":"Ahmad","non-dropping-particle":"","parse-names":false,"suffix":""}],"id":"ITEM-1","issued":{"date-parts":[["2015"]]},"publisher":"PT Mizan Pustaka","publisher-place":"Bandung, Indonesia","title":"Membumikan Hukum Islam Melalui Maqasid Syariah: Pendekatan Sistem","type":"book"},"uris":["http://www.mendeley.com/documents/?uuid=41b4688e-6041-4f53-8527-73b027ef7d49"]},{"id":"ITEM-2","itemData":{"ISBN":"978-623-91744-2-2","author":[{"dropping-particle":"","family":"Abdullah","given":"M. Amin","non-dropping-particle":"","parse-names":false,"suffix":""}],"edition":"2","editor":[{"dropping-particle":"","family":"Khoirudin","given":"Azaki","non-dropping-particle":"","parse-names":false,"suffix":""}],"id":"ITEM-2","issued":{"date-parts":[["2020"]]},"publisher":"IB Pustaka","publisher-place":"Yogyakarta, Indonesia","title":"Multidisiplin, Interdisiplin, dan Transdisiplin: Metode Studi Agama dan Studi Islam di Era Kontemporer","type":"book"},"uris":["http://www.mendeley.com/documents/?uuid=aebf2980-43e5-4371-b6e1-892794f1084f"]}],"mendeley":{"formattedCitation":"(Abdullah, 2020; Auda, 2015)","plainTextFormattedCitation":"(Abdullah, 2020; Auda, 2015)","previouslyFormattedCitation":"(Abdullah, 2020; Auda, 2015)"},"properties":{"noteIndex":0},"schema":"https://github.com/citation-style-language/schema/raw/master/csl-citation.json"}</w:instrText>
      </w:r>
      <w:r w:rsidR="00E6798F" w:rsidRPr="00C55B9C">
        <w:rPr>
          <w:rFonts w:ascii="Palatino Linotype" w:hAnsi="Palatino Linotype" w:cs="Times New Roman"/>
          <w:sz w:val="24"/>
          <w:szCs w:val="24"/>
        </w:rPr>
        <w:fldChar w:fldCharType="separate"/>
      </w:r>
      <w:r w:rsidR="00E6798F" w:rsidRPr="00C55B9C">
        <w:rPr>
          <w:rFonts w:ascii="Palatino Linotype" w:hAnsi="Palatino Linotype" w:cs="Times New Roman"/>
          <w:noProof/>
          <w:sz w:val="24"/>
          <w:szCs w:val="24"/>
        </w:rPr>
        <w:t>(Abdullah, 2020; Auda, 2015)</w:t>
      </w:r>
      <w:r w:rsidR="00E6798F" w:rsidRPr="00C55B9C">
        <w:rPr>
          <w:rFonts w:ascii="Palatino Linotype" w:hAnsi="Palatino Linotype" w:cs="Times New Roman"/>
          <w:sz w:val="24"/>
          <w:szCs w:val="24"/>
        </w:rPr>
        <w:fldChar w:fldCharType="end"/>
      </w:r>
      <w:r w:rsidRPr="00C55B9C">
        <w:rPr>
          <w:rFonts w:ascii="Palatino Linotype" w:hAnsi="Palatino Linotype" w:cs="Times New Roman"/>
          <w:sz w:val="24"/>
          <w:szCs w:val="24"/>
        </w:rPr>
        <w:t xml:space="preserve">, yang harus ada dalam setiap analisis dan kerangka kerja hokum Islam. </w:t>
      </w:r>
    </w:p>
    <w:tbl>
      <w:tblPr>
        <w:tblStyle w:val="PlainTable3"/>
        <w:tblW w:w="0" w:type="auto"/>
        <w:tblLook w:val="04A0" w:firstRow="1" w:lastRow="0" w:firstColumn="1" w:lastColumn="0" w:noHBand="0" w:noVBand="1"/>
      </w:tblPr>
      <w:tblGrid>
        <w:gridCol w:w="4732"/>
        <w:gridCol w:w="4295"/>
      </w:tblGrid>
      <w:tr w:rsidR="00D757DA" w:rsidRPr="00C55B9C" w:rsidTr="00A9228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08" w:type="dxa"/>
          </w:tcPr>
          <w:p w:rsidR="00D757DA" w:rsidRPr="00C55B9C" w:rsidRDefault="00D757DA" w:rsidP="006E3240">
            <w:pPr>
              <w:spacing w:line="276" w:lineRule="auto"/>
              <w:jc w:val="both"/>
              <w:rPr>
                <w:rFonts w:ascii="Palatino Linotype" w:hAnsi="Palatino Linotype" w:cs="Times New Roman"/>
                <w:sz w:val="24"/>
                <w:szCs w:val="24"/>
              </w:rPr>
            </w:pPr>
            <w:r w:rsidRPr="00C55B9C">
              <w:rPr>
                <w:rFonts w:ascii="Palatino Linotype" w:hAnsi="Palatino Linotype" w:cs="Times New Roman"/>
                <w:noProof/>
                <w:sz w:val="24"/>
                <w:szCs w:val="24"/>
              </w:rPr>
              <w:drawing>
                <wp:inline distT="0" distB="0" distL="0" distR="0" wp14:anchorId="164D9476" wp14:editId="39452871">
                  <wp:extent cx="2943225" cy="257302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asser_Fiqh.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61383" cy="2588894"/>
                          </a:xfrm>
                          <a:prstGeom prst="rect">
                            <a:avLst/>
                          </a:prstGeom>
                        </pic:spPr>
                      </pic:pic>
                    </a:graphicData>
                  </a:graphic>
                </wp:inline>
              </w:drawing>
            </w:r>
          </w:p>
        </w:tc>
        <w:tc>
          <w:tcPr>
            <w:tcW w:w="4509" w:type="dxa"/>
          </w:tcPr>
          <w:p w:rsidR="00D757DA" w:rsidRPr="00C55B9C" w:rsidRDefault="00D757DA" w:rsidP="006E3240">
            <w:pPr>
              <w:spacing w:line="276"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Times New Roman"/>
                <w:sz w:val="24"/>
                <w:szCs w:val="24"/>
              </w:rPr>
            </w:pPr>
            <w:r w:rsidRPr="00C55B9C">
              <w:rPr>
                <w:rFonts w:ascii="Palatino Linotype" w:hAnsi="Palatino Linotype"/>
                <w:noProof/>
              </w:rPr>
              <w:drawing>
                <wp:inline distT="0" distB="0" distL="0" distR="0" wp14:anchorId="2D2D4C05" wp14:editId="3DCA34E8">
                  <wp:extent cx="2667000" cy="22193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94939" cy="2242574"/>
                          </a:xfrm>
                          <a:prstGeom prst="rect">
                            <a:avLst/>
                          </a:prstGeom>
                        </pic:spPr>
                      </pic:pic>
                    </a:graphicData>
                  </a:graphic>
                </wp:inline>
              </w:drawing>
            </w:r>
          </w:p>
        </w:tc>
      </w:tr>
      <w:tr w:rsidR="00D757DA" w:rsidRPr="00C55B9C" w:rsidTr="00A922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D757DA" w:rsidRPr="00C55B9C" w:rsidRDefault="00D757DA" w:rsidP="00A92285">
            <w:pPr>
              <w:spacing w:line="276" w:lineRule="auto"/>
              <w:jc w:val="center"/>
              <w:rPr>
                <w:rFonts w:ascii="Palatino Linotype" w:hAnsi="Palatino Linotype" w:cs="Times New Roman"/>
                <w:sz w:val="24"/>
                <w:szCs w:val="24"/>
              </w:rPr>
            </w:pPr>
            <w:r w:rsidRPr="00C55B9C">
              <w:rPr>
                <w:rFonts w:ascii="Palatino Linotype" w:hAnsi="Palatino Linotype" w:cs="Times New Roman"/>
                <w:caps w:val="0"/>
                <w:sz w:val="24"/>
                <w:szCs w:val="24"/>
              </w:rPr>
              <w:t>Gambar 3: Syariah Dan Fiqh</w:t>
            </w:r>
          </w:p>
        </w:tc>
        <w:tc>
          <w:tcPr>
            <w:tcW w:w="4509" w:type="dxa"/>
          </w:tcPr>
          <w:p w:rsidR="00D757DA" w:rsidRPr="00C55B9C" w:rsidRDefault="00D757DA" w:rsidP="00510F74">
            <w:pPr>
              <w:spacing w:line="276"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b/>
                <w:bCs/>
                <w:sz w:val="24"/>
                <w:szCs w:val="24"/>
              </w:rPr>
            </w:pPr>
            <w:r w:rsidRPr="00C55B9C">
              <w:rPr>
                <w:rFonts w:ascii="Palatino Linotype" w:hAnsi="Palatino Linotype" w:cs="Times New Roman"/>
                <w:b/>
                <w:bCs/>
                <w:sz w:val="24"/>
                <w:szCs w:val="24"/>
              </w:rPr>
              <w:t>Gambar 4: Mujtahid, Fiqh dan Syariah</w:t>
            </w:r>
          </w:p>
        </w:tc>
      </w:tr>
    </w:tbl>
    <w:p w:rsidR="00D757DA" w:rsidRPr="00C55B9C" w:rsidRDefault="00D757DA" w:rsidP="006E3240">
      <w:pPr>
        <w:spacing w:after="0" w:line="276" w:lineRule="auto"/>
        <w:jc w:val="both"/>
        <w:rPr>
          <w:rFonts w:ascii="Palatino Linotype" w:hAnsi="Palatino Linotype" w:cs="Times New Roman"/>
          <w:sz w:val="24"/>
          <w:szCs w:val="24"/>
        </w:rPr>
      </w:pPr>
    </w:p>
    <w:p w:rsidR="00D757DA" w:rsidRPr="00C55B9C" w:rsidRDefault="00D757DA" w:rsidP="00A769E1">
      <w:pPr>
        <w:widowControl w:val="0"/>
        <w:spacing w:after="120" w:line="240" w:lineRule="auto"/>
        <w:ind w:firstLine="567"/>
        <w:jc w:val="both"/>
        <w:rPr>
          <w:rFonts w:ascii="Palatino Linotype" w:hAnsi="Palatino Linotype" w:cs="Times New Roman"/>
          <w:sz w:val="24"/>
          <w:szCs w:val="24"/>
        </w:rPr>
      </w:pPr>
      <w:r w:rsidRPr="00C55B9C">
        <w:rPr>
          <w:rFonts w:ascii="Palatino Linotype" w:hAnsi="Palatino Linotype" w:cs="Times New Roman"/>
          <w:sz w:val="24"/>
          <w:szCs w:val="24"/>
        </w:rPr>
        <w:t>Untuk menghindari kejumbuhan, Jasser Auda membedakan secara tegas antara syariah dan hokum Islam (fiqh)</w:t>
      </w:r>
      <w:r w:rsidR="00E6798F" w:rsidRPr="00C55B9C">
        <w:rPr>
          <w:rFonts w:ascii="Palatino Linotype" w:hAnsi="Palatino Linotype" w:cs="Times New Roman"/>
          <w:sz w:val="24"/>
          <w:szCs w:val="24"/>
        </w:rPr>
        <w:t xml:space="preserve"> </w:t>
      </w:r>
      <w:r w:rsidR="00E6798F" w:rsidRPr="00C55B9C">
        <w:rPr>
          <w:rFonts w:ascii="Palatino Linotype" w:hAnsi="Palatino Linotype" w:cs="Times New Roman"/>
          <w:sz w:val="24"/>
          <w:szCs w:val="24"/>
        </w:rPr>
        <w:fldChar w:fldCharType="begin" w:fldLock="1"/>
      </w:r>
      <w:r w:rsidR="00E6798F" w:rsidRPr="00C55B9C">
        <w:rPr>
          <w:rFonts w:ascii="Palatino Linotype" w:hAnsi="Palatino Linotype" w:cs="Times New Roman"/>
          <w:sz w:val="24"/>
          <w:szCs w:val="24"/>
        </w:rPr>
        <w:instrText>ADDIN CSL_CITATION {"citationItems":[{"id":"ITEM-1","itemData":{"ISBN":"978–1–56564–424–3","author":[{"dropping-particle":"","family":"Auda","given":"Jasser","non-dropping-particle":"","parse-names":false,"suffix":""}],"edition":"1","id":"ITEM-1","issued":{"date-parts":[["2007"]]},"publisher":"The International Institute of Islamic Thought","publisher-place":"London, England","title":"Maqasid al-Shariah as Philosophy of Islamic Law: A System Approach","type":"book"},"uris":["http://www.mendeley.com/documents/?uuid=021a9711-7b60-460e-b876-e8b60e2bc8f8"]}],"mendeley":{"formattedCitation":"(Auda, 2007)","plainTextFormattedCitation":"(Auda, 2007)","previouslyFormattedCitation":"(Auda, 2007)"},"properties":{"noteIndex":0},"schema":"https://github.com/citation-style-language/schema/raw/master/csl-citation.json"}</w:instrText>
      </w:r>
      <w:r w:rsidR="00E6798F" w:rsidRPr="00C55B9C">
        <w:rPr>
          <w:rFonts w:ascii="Palatino Linotype" w:hAnsi="Palatino Linotype" w:cs="Times New Roman"/>
          <w:sz w:val="24"/>
          <w:szCs w:val="24"/>
        </w:rPr>
        <w:fldChar w:fldCharType="separate"/>
      </w:r>
      <w:r w:rsidR="00E6798F" w:rsidRPr="00C55B9C">
        <w:rPr>
          <w:rFonts w:ascii="Palatino Linotype" w:hAnsi="Palatino Linotype" w:cs="Times New Roman"/>
          <w:noProof/>
          <w:sz w:val="24"/>
          <w:szCs w:val="24"/>
        </w:rPr>
        <w:t>(Auda, 2007)</w:t>
      </w:r>
      <w:r w:rsidR="00E6798F" w:rsidRPr="00C55B9C">
        <w:rPr>
          <w:rFonts w:ascii="Palatino Linotype" w:hAnsi="Palatino Linotype" w:cs="Times New Roman"/>
          <w:sz w:val="24"/>
          <w:szCs w:val="24"/>
        </w:rPr>
        <w:fldChar w:fldCharType="end"/>
      </w:r>
      <w:r w:rsidRPr="00C55B9C">
        <w:rPr>
          <w:rFonts w:ascii="Palatino Linotype" w:hAnsi="Palatino Linotype" w:cs="Times New Roman"/>
          <w:sz w:val="24"/>
          <w:szCs w:val="24"/>
        </w:rPr>
        <w:t xml:space="preserve">. Pembedaan ini sangat penting dan fundamental, karena kejumbuhan kedua istilah ini sering dimanfaatkan oleh berbagai kepentingan baik politik ataupun fanatisme kelompok, yaitu kritik terhadap keberadaan fiqh sering diasosiasikan dengan kritik terhadap syariat. Akibatnya, kritik terhadap pemikiran ulama yang sudah baku dan mapan dianggap sebagai penyimpangan dari syariat, sehingga usaha pembaharuan, kontekstualisasi, dan penyegaran hokum Islam tidak lagi dapat dilakukan. Menurut Jasser Auda lingkup syariah hanya Alquran dan al-hadis yang selama ini sebagai sumber dan referensi </w:t>
      </w:r>
      <w:r w:rsidRPr="00C55B9C">
        <w:rPr>
          <w:rFonts w:ascii="Palatino Linotype" w:hAnsi="Palatino Linotype" w:cs="Times New Roman"/>
          <w:sz w:val="24"/>
          <w:szCs w:val="24"/>
        </w:rPr>
        <w:lastRenderedPageBreak/>
        <w:t xml:space="preserve">hokum Islam (Gambar 3 dan 4). Bahkan dalam konteks hadis pun, Jasser Auda membedakan antara Muhammad sebagai manusia, dan Muhammad sebagai Nabi.  Sehingga, tidak semua hadis mengandung tuntunan syariat, tetapi hanya sebatas informasi historis kemanusiaan saja. Sedangkan hokum Islam (fiqh) dan mujtahid berada di lingkaran luar syariah (Gambar 4), karena fiqh merupakan produk pemahaman (kognisi) para mujtahid yang berdasarkan sumber pokok hokum Islam terhadap realitas persoalan hokum yang muncul dan berkembang di masyarakat. </w:t>
      </w:r>
    </w:p>
    <w:p w:rsidR="00D757DA" w:rsidRPr="00C55B9C" w:rsidRDefault="00D757DA" w:rsidP="00A769E1">
      <w:pPr>
        <w:widowControl w:val="0"/>
        <w:spacing w:after="120" w:line="240" w:lineRule="auto"/>
        <w:ind w:firstLine="567"/>
        <w:jc w:val="both"/>
        <w:rPr>
          <w:rFonts w:ascii="Palatino Linotype" w:hAnsi="Palatino Linotype" w:cs="Times New Roman"/>
          <w:sz w:val="24"/>
          <w:szCs w:val="24"/>
        </w:rPr>
      </w:pPr>
      <w:r w:rsidRPr="00C55B9C">
        <w:rPr>
          <w:rFonts w:ascii="Palatino Linotype" w:hAnsi="Palatino Linotype" w:cs="Times New Roman"/>
          <w:sz w:val="24"/>
          <w:szCs w:val="24"/>
        </w:rPr>
        <w:t>Seorang mujtahid yang bekerja melakukan ijtihad harus memahami Alquran dan sunnah sebagai sumber utama hokum Islam, serta aspek-aspek kompetensi pandangan dunia (world view) melalui instrumen ilmu-ilmu pengetahuan yang berkembangan dan beragam sebagai metodologi dan pendekatan (Gambar 4). Dengan ungkapan lain, seorang mujtahid harus memiliki wasasan dan kompetensi beragam perspektif pengetahuan yang berbasiskan pada kerangka ilmiah dalam rangka untuk mendalami pesan utama nash-nash yang dikehendaki oleh syariat (maqsid al-syariah)</w:t>
      </w:r>
      <w:r w:rsidR="00E6798F" w:rsidRPr="00C55B9C">
        <w:rPr>
          <w:rFonts w:ascii="Palatino Linotype" w:hAnsi="Palatino Linotype" w:cs="Times New Roman"/>
          <w:sz w:val="24"/>
          <w:szCs w:val="24"/>
        </w:rPr>
        <w:t xml:space="preserve"> </w:t>
      </w:r>
      <w:r w:rsidR="00E6798F" w:rsidRPr="00C55B9C">
        <w:rPr>
          <w:rFonts w:ascii="Palatino Linotype" w:hAnsi="Palatino Linotype" w:cs="Times New Roman"/>
          <w:sz w:val="24"/>
          <w:szCs w:val="24"/>
        </w:rPr>
        <w:fldChar w:fldCharType="begin" w:fldLock="1"/>
      </w:r>
      <w:r w:rsidR="002C1E42" w:rsidRPr="00C55B9C">
        <w:rPr>
          <w:rFonts w:ascii="Palatino Linotype" w:hAnsi="Palatino Linotype" w:cs="Times New Roman"/>
          <w:sz w:val="24"/>
          <w:szCs w:val="24"/>
        </w:rPr>
        <w:instrText>ADDIN CSL_CITATION {"citationItems":[{"id":"ITEM-1","itemData":{"ISBN":"978–1–56564–424–3","author":[{"dropping-particle":"","family":"Auda","given":"Jasser","non-dropping-particle":"","parse-names":false,"suffix":""}],"edition":"1","id":"ITEM-1","issued":{"date-parts":[["2007"]]},"publisher":"The International Institute of Islamic Thought","publisher-place":"London, England","title":"Maqasid al-Shariah as Philosophy of Islamic Law: A System Approach","type":"book"},"uris":["http://www.mendeley.com/documents/?uuid=021a9711-7b60-460e-b876-e8b60e2bc8f8"]}],"mendeley":{"formattedCitation":"(Auda, 2007)","plainTextFormattedCitation":"(Auda, 2007)","previouslyFormattedCitation":"(Auda, 2007)"},"properties":{"noteIndex":0},"schema":"https://github.com/citation-style-language/schema/raw/master/csl-citation.json"}</w:instrText>
      </w:r>
      <w:r w:rsidR="00E6798F" w:rsidRPr="00C55B9C">
        <w:rPr>
          <w:rFonts w:ascii="Palatino Linotype" w:hAnsi="Palatino Linotype" w:cs="Times New Roman"/>
          <w:sz w:val="24"/>
          <w:szCs w:val="24"/>
        </w:rPr>
        <w:fldChar w:fldCharType="separate"/>
      </w:r>
      <w:r w:rsidR="00E6798F" w:rsidRPr="00C55B9C">
        <w:rPr>
          <w:rFonts w:ascii="Palatino Linotype" w:hAnsi="Palatino Linotype" w:cs="Times New Roman"/>
          <w:noProof/>
          <w:sz w:val="24"/>
          <w:szCs w:val="24"/>
        </w:rPr>
        <w:t>(Auda, 2007)</w:t>
      </w:r>
      <w:r w:rsidR="00E6798F" w:rsidRPr="00C55B9C">
        <w:rPr>
          <w:rFonts w:ascii="Palatino Linotype" w:hAnsi="Palatino Linotype" w:cs="Times New Roman"/>
          <w:sz w:val="24"/>
          <w:szCs w:val="24"/>
        </w:rPr>
        <w:fldChar w:fldCharType="end"/>
      </w:r>
      <w:r w:rsidRPr="00C55B9C">
        <w:rPr>
          <w:rFonts w:ascii="Palatino Linotype" w:hAnsi="Palatino Linotype" w:cs="Times New Roman"/>
          <w:sz w:val="24"/>
          <w:szCs w:val="24"/>
        </w:rPr>
        <w:t xml:space="preserve">. Dengan demikian, hasil ijtihad yang berupa fiqh dan fatwa dapat menjadi solusi yang holistic bagi kehidupan umat manusia.     </w:t>
      </w:r>
    </w:p>
    <w:p w:rsidR="00D757DA" w:rsidRPr="00C55B9C" w:rsidRDefault="00D757DA" w:rsidP="00FA249D">
      <w:pPr>
        <w:spacing w:after="0" w:line="276" w:lineRule="auto"/>
        <w:ind w:firstLine="360"/>
        <w:jc w:val="both"/>
        <w:rPr>
          <w:rFonts w:ascii="Palatino Linotype" w:hAnsi="Palatino Linotype" w:cs="Times New Roman"/>
          <w:sz w:val="24"/>
          <w:szCs w:val="24"/>
        </w:rPr>
      </w:pPr>
    </w:p>
    <w:p w:rsidR="00D757DA" w:rsidRPr="00C55B9C" w:rsidRDefault="00D757DA" w:rsidP="00CF26C7">
      <w:pPr>
        <w:pStyle w:val="Heading3"/>
        <w:numPr>
          <w:ilvl w:val="0"/>
          <w:numId w:val="10"/>
        </w:numPr>
        <w:rPr>
          <w:rFonts w:ascii="Palatino Linotype" w:hAnsi="Palatino Linotype"/>
          <w:b/>
          <w:bCs/>
          <w:color w:val="000000" w:themeColor="text1"/>
        </w:rPr>
      </w:pPr>
      <w:r w:rsidRPr="00C55B9C">
        <w:rPr>
          <w:rFonts w:ascii="Palatino Linotype" w:hAnsi="Palatino Linotype"/>
          <w:b/>
          <w:bCs/>
          <w:color w:val="000000" w:themeColor="text1"/>
        </w:rPr>
        <w:t xml:space="preserve">Konstelasi Pemikiran </w:t>
      </w:r>
      <w:r w:rsidR="00CF26C7" w:rsidRPr="00C55B9C">
        <w:rPr>
          <w:rFonts w:ascii="Palatino Linotype" w:hAnsi="Palatino Linotype"/>
          <w:b/>
          <w:bCs/>
          <w:color w:val="000000" w:themeColor="text1"/>
        </w:rPr>
        <w:t xml:space="preserve">Abdullah, El-Fadl, dan Auda </w:t>
      </w:r>
      <w:r w:rsidRPr="00C55B9C">
        <w:rPr>
          <w:rFonts w:ascii="Palatino Linotype" w:hAnsi="Palatino Linotype"/>
          <w:b/>
          <w:bCs/>
          <w:color w:val="000000" w:themeColor="text1"/>
        </w:rPr>
        <w:t>dalam Wacana Pembaharuan Metodologi Fatwa</w:t>
      </w:r>
    </w:p>
    <w:p w:rsidR="00D757DA" w:rsidRPr="00C55B9C" w:rsidRDefault="00D757DA" w:rsidP="00A769E1">
      <w:pPr>
        <w:widowControl w:val="0"/>
        <w:spacing w:after="120" w:line="240" w:lineRule="auto"/>
        <w:ind w:firstLine="567"/>
        <w:jc w:val="both"/>
        <w:rPr>
          <w:rFonts w:ascii="Palatino Linotype" w:hAnsi="Palatino Linotype" w:cs="Times New Roman"/>
          <w:sz w:val="24"/>
          <w:szCs w:val="24"/>
        </w:rPr>
      </w:pPr>
      <w:r w:rsidRPr="00C55B9C">
        <w:rPr>
          <w:rFonts w:ascii="Palatino Linotype" w:hAnsi="Palatino Linotype" w:cs="Times New Roman"/>
          <w:sz w:val="24"/>
          <w:szCs w:val="24"/>
        </w:rPr>
        <w:t xml:space="preserve">Posisi ketiga orang tokoh, yaitu M. Amin Abdullah, Khalid Abou al-fadl, dan Jasser Audah adalah bukan sebagai seorang mufti baik secara individual maupun kelembagaan, tetapi lebih sebagai seorang akademisi yang konsern terhadap persoalan-persoalan hokum Islam kontemporer. Sehingga ketiga tokoh ini berbicara menyuarakan pembaharuan metodologi fatwa dari luar komunitas, dan tidak masuk dalam posisi yang mengambil bagian dalam bergulatan fatwa itu sendiri. Posisi tersebut sesungguhnya memiliki keuntungan dan juga kelemahan. Keuntunganya adalah netralitas dan objektivitas ketika melihat realitas problem fatwa itu. Sayangnya, gagasan-gagasan pembaharuan metodologi fatwa yang disuarakan belum tentu mendapatkan respon yang positif dan diterima oleh komunitas ataupun pelaku yang terlibat dalam pergulatan fatwa itu. Inilah yang menjadi kelemahan utama dari ketiga tokoh tersebut. Disamping itu, pemikiran-pemikiran ketiga tokoh tersebut sering dicurigai oleh kelompok islamisme karena dianggap sebagai bagian dari proyek liberalism yang dituduh “akan menghancurkan Islam”. </w:t>
      </w:r>
    </w:p>
    <w:p w:rsidR="00A57341" w:rsidRPr="00C55B9C" w:rsidRDefault="00D757DA" w:rsidP="00A769E1">
      <w:pPr>
        <w:widowControl w:val="0"/>
        <w:spacing w:after="120" w:line="240" w:lineRule="auto"/>
        <w:ind w:firstLine="567"/>
        <w:jc w:val="both"/>
        <w:rPr>
          <w:rFonts w:ascii="Palatino Linotype" w:hAnsi="Palatino Linotype" w:cs="Times New Roman"/>
          <w:sz w:val="24"/>
          <w:szCs w:val="24"/>
        </w:rPr>
      </w:pPr>
      <w:r w:rsidRPr="00C55B9C">
        <w:rPr>
          <w:rFonts w:ascii="Palatino Linotype" w:hAnsi="Palatino Linotype" w:cs="Times New Roman"/>
          <w:sz w:val="24"/>
          <w:szCs w:val="24"/>
        </w:rPr>
        <w:t>Dengan realitas demikian itu, pemikiran pembaharuan yang digagas oleh ketiga orang ini, dalam konteks wacana fatwa, menempati wacana baru yang mendapatkan respon beragam dari berbagai fihak, baik yang pro dan kontra. Kelompk islamisme merespon gagasan pembaharuan dengan kecurigaan yang berlebih</w:t>
      </w:r>
      <w:r w:rsidR="00CF26C7" w:rsidRPr="00C55B9C">
        <w:rPr>
          <w:rFonts w:ascii="Palatino Linotype" w:hAnsi="Palatino Linotype" w:cs="Times New Roman"/>
          <w:sz w:val="24"/>
          <w:szCs w:val="24"/>
        </w:rPr>
        <w:t xml:space="preserve"> </w:t>
      </w:r>
      <w:r w:rsidRPr="00C55B9C">
        <w:rPr>
          <w:rStyle w:val="FootnoteReference"/>
          <w:rFonts w:ascii="Palatino Linotype" w:hAnsi="Palatino Linotype" w:cs="Times New Roman"/>
          <w:sz w:val="24"/>
          <w:szCs w:val="24"/>
        </w:rPr>
        <w:fldChar w:fldCharType="begin" w:fldLock="1"/>
      </w:r>
      <w:r w:rsidR="002C1E42" w:rsidRPr="00C55B9C">
        <w:rPr>
          <w:rFonts w:ascii="Palatino Linotype" w:hAnsi="Palatino Linotype" w:cs="Times New Roman"/>
          <w:sz w:val="24"/>
          <w:szCs w:val="24"/>
        </w:rPr>
        <w:instrText>ADDIN CSL_CITATION {"citationItems":[{"id":"ITEM-1","itemData":{"ISBN":"9789793407296","author":[{"dropping-particle":"","family":"Al-Nasir","given":"Muhammad Hamid","non-dropping-particle":"","parse-names":false,"suffix":""}],"edition":"1","editor":[{"dropping-particle":"","family":"Basyir","given":"Abu Umar","non-dropping-particle":"","parse-names":false,"suffix":""},{"dropping-particle":"","family":"Sjihab","given":"Ahmad Amin","non-dropping-particle":"","parse-names":false,"suffix":""}],"id":"ITEM-1","issued":{"date-parts":[["2004"]]},"publisher":"Darul Haq","publisher-place":"Jakarta, Indonesia","title":"Menjawab Modernisasi Islam: Membedah Pemikiran Jamaludin Al-Afghani hingga Islam Liberal","type":"book"},"uris":["http://www.mendeley.com/documents/?uuid=f6048fea-1e16-4357-99a1-cdafc0775635"]}],"mendeley":{"formattedCitation":"(Al-Nasir, 2004)","plainTextFormattedCitation":"(Al-Nasir, 2004)","previouslyFormattedCitation":"(Muhammad Hamid al-Nasir, 2004)"},"properties":{"noteIndex":0},"schema":"https://github.com/citation-style-language/schema/raw/master/csl-citation.json"}</w:instrText>
      </w:r>
      <w:r w:rsidRPr="00C55B9C">
        <w:rPr>
          <w:rStyle w:val="FootnoteReference"/>
          <w:rFonts w:ascii="Palatino Linotype" w:hAnsi="Palatino Linotype" w:cs="Times New Roman"/>
          <w:sz w:val="24"/>
          <w:szCs w:val="24"/>
        </w:rPr>
        <w:fldChar w:fldCharType="separate"/>
      </w:r>
      <w:r w:rsidR="002C1E42" w:rsidRPr="00C55B9C">
        <w:rPr>
          <w:rFonts w:ascii="Palatino Linotype" w:hAnsi="Palatino Linotype" w:cs="Times New Roman"/>
          <w:noProof/>
          <w:sz w:val="24"/>
          <w:szCs w:val="24"/>
        </w:rPr>
        <w:t>(Al-Nasir, 2004)</w:t>
      </w:r>
      <w:r w:rsidRPr="00C55B9C">
        <w:rPr>
          <w:rStyle w:val="FootnoteReference"/>
          <w:rFonts w:ascii="Palatino Linotype" w:hAnsi="Palatino Linotype" w:cs="Times New Roman"/>
          <w:sz w:val="24"/>
          <w:szCs w:val="24"/>
        </w:rPr>
        <w:fldChar w:fldCharType="end"/>
      </w:r>
      <w:r w:rsidR="00CF26C7" w:rsidRPr="00C55B9C">
        <w:rPr>
          <w:rFonts w:ascii="Palatino Linotype" w:hAnsi="Palatino Linotype" w:cs="Times New Roman"/>
          <w:sz w:val="24"/>
          <w:szCs w:val="24"/>
        </w:rPr>
        <w:t>,</w:t>
      </w:r>
      <w:r w:rsidRPr="00C55B9C">
        <w:rPr>
          <w:rFonts w:ascii="Palatino Linotype" w:hAnsi="Palatino Linotype" w:cs="Times New Roman"/>
          <w:sz w:val="24"/>
          <w:szCs w:val="24"/>
        </w:rPr>
        <w:t xml:space="preserve"> dengan melabeli kelompok yang pro pembaharuan sebagai liberal yang hendak </w:t>
      </w:r>
      <w:r w:rsidRPr="00C55B9C">
        <w:rPr>
          <w:rFonts w:ascii="Palatino Linotype" w:hAnsi="Palatino Linotype" w:cs="Times New Roman"/>
          <w:sz w:val="24"/>
          <w:szCs w:val="24"/>
        </w:rPr>
        <w:lastRenderedPageBreak/>
        <w:t>menghancurkan Islam,</w:t>
      </w:r>
      <w:r w:rsidRPr="00C55B9C">
        <w:rPr>
          <w:rStyle w:val="FootnoteReference"/>
          <w:rFonts w:ascii="Palatino Linotype" w:hAnsi="Palatino Linotype" w:cs="Times New Roman"/>
          <w:sz w:val="24"/>
          <w:szCs w:val="24"/>
        </w:rPr>
        <w:fldChar w:fldCharType="begin" w:fldLock="1"/>
      </w:r>
      <w:r w:rsidR="00001A5F" w:rsidRPr="00C55B9C">
        <w:rPr>
          <w:rFonts w:ascii="Palatino Linotype" w:hAnsi="Palatino Linotype" w:cs="Times New Roman"/>
          <w:sz w:val="24"/>
          <w:szCs w:val="24"/>
        </w:rPr>
        <w:instrText>ADDIN CSL_CITATION {"citationItems":[{"id":"ITEM-1","itemData":{"author":[{"dropping-particle":"","family":"Husaini","given":"Adian","non-dropping-particle":"","parse-names":false,"suffix":""},{"dropping-particle":"","family":"Hidayat","given":"Nuim","non-dropping-particle":"","parse-names":false,"suffix":""}],"edition":"1","editor":[{"dropping-particle":"","family":"Kurniawan","given":"Harlis","non-dropping-particle":"","parse-names":false,"suffix":""},{"dropping-particle":"","family":"Irfan","given":"Dendi","non-dropping-particle":"","parse-names":false,"suffix":""}],"id":"ITEM-1","issued":{"date-parts":[["2002"]]},"publisher":"Gema Insani Pers","publisher-place":"Jakarta, Indonesia","title":"Islam Liberal (Sejarah Konsepsi Penyimpangan Dan Jawabannya)","type":"book"},"uris":["http://www.mendeley.com/documents/?uuid=17cbb50a-cd0f-4a92-bf06-cfe37dcf7b0b"]}],"mendeley":{"formattedCitation":"(Husaini &amp; Hidayat, 2002)","plainTextFormattedCitation":"(Husaini &amp; Hidayat, 2002)","previouslyFormattedCitation":"(Husaini &amp; Hidayat, 2002)"},"properties":{"noteIndex":0},"schema":"https://github.com/citation-style-language/schema/raw/master/csl-citation.json"}</w:instrText>
      </w:r>
      <w:r w:rsidRPr="00C55B9C">
        <w:rPr>
          <w:rStyle w:val="FootnoteReference"/>
          <w:rFonts w:ascii="Palatino Linotype" w:hAnsi="Palatino Linotype" w:cs="Times New Roman"/>
          <w:sz w:val="24"/>
          <w:szCs w:val="24"/>
        </w:rPr>
        <w:fldChar w:fldCharType="separate"/>
      </w:r>
      <w:r w:rsidR="00001A5F" w:rsidRPr="00C55B9C">
        <w:rPr>
          <w:rFonts w:ascii="Palatino Linotype" w:hAnsi="Palatino Linotype" w:cs="Times New Roman"/>
          <w:noProof/>
          <w:sz w:val="24"/>
          <w:szCs w:val="24"/>
        </w:rPr>
        <w:t>(Husaini &amp; Hidayat, 2002)</w:t>
      </w:r>
      <w:r w:rsidRPr="00C55B9C">
        <w:rPr>
          <w:rStyle w:val="FootnoteReference"/>
          <w:rFonts w:ascii="Palatino Linotype" w:hAnsi="Palatino Linotype" w:cs="Times New Roman"/>
          <w:sz w:val="24"/>
          <w:szCs w:val="24"/>
        </w:rPr>
        <w:fldChar w:fldCharType="end"/>
      </w:r>
      <w:r w:rsidRPr="00C55B9C">
        <w:rPr>
          <w:rFonts w:ascii="Palatino Linotype" w:hAnsi="Palatino Linotype" w:cs="Times New Roman"/>
          <w:sz w:val="24"/>
          <w:szCs w:val="24"/>
        </w:rPr>
        <w:t xml:space="preserve"> mendapatkan pengaruh Kristen</w:t>
      </w:r>
      <w:r w:rsidR="00CF26C7" w:rsidRPr="00C55B9C">
        <w:rPr>
          <w:rFonts w:ascii="Palatino Linotype" w:hAnsi="Palatino Linotype" w:cs="Times New Roman"/>
          <w:sz w:val="24"/>
          <w:szCs w:val="24"/>
        </w:rPr>
        <w:t xml:space="preserve"> </w:t>
      </w:r>
      <w:r w:rsidRPr="00C55B9C">
        <w:rPr>
          <w:rStyle w:val="FootnoteReference"/>
          <w:rFonts w:ascii="Palatino Linotype" w:hAnsi="Palatino Linotype" w:cs="Times New Roman"/>
          <w:sz w:val="24"/>
          <w:szCs w:val="24"/>
        </w:rPr>
        <w:fldChar w:fldCharType="begin" w:fldLock="1"/>
      </w:r>
      <w:r w:rsidRPr="00C55B9C">
        <w:rPr>
          <w:rFonts w:ascii="Palatino Linotype" w:hAnsi="Palatino Linotype" w:cs="Times New Roman"/>
          <w:sz w:val="24"/>
          <w:szCs w:val="24"/>
        </w:rPr>
        <w:instrText>ADDIN CSL_CITATION {"citationItems":[{"id":"ITEM-1","itemData":{"author":[{"dropping-particle":"","family":"Armas","given":"Adnin","non-dropping-particle":"","parse-names":false,"suffix":""}],"edition":"1","id":"ITEM-1","issued":{"date-parts":[["2003"]]},"publisher":"Gema Insani Pers","publisher-place":"Jakarta, Indonesia","title":"Pengaruh Kristen-Orientalis Terhadap Islam Liberal (Quran Sunnah Hadith Hadits Hadis)","type":"book"},"uris":["http://www.mendeley.com/documents/?uuid=c6689db4-3b71-49ee-99bc-6d235c5d8d55"]}],"mendeley":{"formattedCitation":"(Armas, 2003)","plainTextFormattedCitation":"(Armas, 2003)","previouslyFormattedCitation":"(Armas, 2003)"},"properties":{"noteIndex":0},"schema":"https://github.com/citation-style-language/schema/raw/master/csl-citation.json"}</w:instrText>
      </w:r>
      <w:r w:rsidRPr="00C55B9C">
        <w:rPr>
          <w:rStyle w:val="FootnoteReference"/>
          <w:rFonts w:ascii="Palatino Linotype" w:hAnsi="Palatino Linotype" w:cs="Times New Roman"/>
          <w:sz w:val="24"/>
          <w:szCs w:val="24"/>
        </w:rPr>
        <w:fldChar w:fldCharType="separate"/>
      </w:r>
      <w:r w:rsidRPr="00C55B9C">
        <w:rPr>
          <w:rFonts w:ascii="Palatino Linotype" w:hAnsi="Palatino Linotype" w:cs="Times New Roman"/>
          <w:noProof/>
          <w:sz w:val="24"/>
          <w:szCs w:val="24"/>
        </w:rPr>
        <w:t>(Armas, 2003)</w:t>
      </w:r>
      <w:r w:rsidRPr="00C55B9C">
        <w:rPr>
          <w:rStyle w:val="FootnoteReference"/>
          <w:rFonts w:ascii="Palatino Linotype" w:hAnsi="Palatino Linotype" w:cs="Times New Roman"/>
          <w:sz w:val="24"/>
          <w:szCs w:val="24"/>
        </w:rPr>
        <w:fldChar w:fldCharType="end"/>
      </w:r>
      <w:r w:rsidR="00CF26C7" w:rsidRPr="00C55B9C">
        <w:rPr>
          <w:rFonts w:ascii="Palatino Linotype" w:hAnsi="Palatino Linotype" w:cs="Times New Roman"/>
          <w:sz w:val="24"/>
          <w:szCs w:val="24"/>
        </w:rPr>
        <w:t>.</w:t>
      </w:r>
      <w:r w:rsidRPr="00C55B9C">
        <w:rPr>
          <w:rFonts w:ascii="Palatino Linotype" w:hAnsi="Palatino Linotype" w:cs="Times New Roman"/>
          <w:sz w:val="24"/>
          <w:szCs w:val="24"/>
        </w:rPr>
        <w:t xml:space="preserve">  Dalam konteks ulama tradisional, pemikiran ketiga tokoh ini juga tidak mendapatkan respon dan tanggapan yang positif. Hal ini dibuktikan dengan realitas dimana ulama-ulama tradisonal lebih asyik dengan mengutip pendapat-pendapat ulama masa lalu untuk merespon persoalan kontemporer. Mereka mengabaikan proyek pembaharuan yang lebih metodologis, dan memilih pencarian gagasan yang sudah ada dalam </w:t>
      </w:r>
      <w:r w:rsidRPr="00C55B9C">
        <w:rPr>
          <w:rFonts w:ascii="Palatino Linotype" w:hAnsi="Palatino Linotype" w:cs="Times New Roman"/>
          <w:i/>
          <w:iCs/>
          <w:sz w:val="24"/>
          <w:szCs w:val="24"/>
        </w:rPr>
        <w:t>al-turust al-islami</w:t>
      </w:r>
      <w:r w:rsidRPr="00C55B9C">
        <w:rPr>
          <w:rFonts w:ascii="Palatino Linotype" w:hAnsi="Palatino Linotype" w:cs="Times New Roman"/>
          <w:sz w:val="24"/>
          <w:szCs w:val="24"/>
        </w:rPr>
        <w:t xml:space="preserve"> masa lalu</w:t>
      </w:r>
      <w:r w:rsidR="00CF26C7" w:rsidRPr="00C55B9C">
        <w:rPr>
          <w:rFonts w:ascii="Palatino Linotype" w:hAnsi="Palatino Linotype" w:cs="Times New Roman"/>
          <w:sz w:val="24"/>
          <w:szCs w:val="24"/>
        </w:rPr>
        <w:t xml:space="preserve"> </w:t>
      </w:r>
      <w:r w:rsidRPr="00C55B9C">
        <w:rPr>
          <w:rStyle w:val="FootnoteReference"/>
          <w:rFonts w:ascii="Palatino Linotype" w:hAnsi="Palatino Linotype" w:cs="Times New Roman"/>
          <w:sz w:val="24"/>
          <w:szCs w:val="24"/>
        </w:rPr>
        <w:fldChar w:fldCharType="begin" w:fldLock="1"/>
      </w:r>
      <w:r w:rsidRPr="00C55B9C">
        <w:rPr>
          <w:rFonts w:ascii="Palatino Linotype" w:hAnsi="Palatino Linotype" w:cs="Times New Roman"/>
          <w:sz w:val="24"/>
          <w:szCs w:val="24"/>
        </w:rPr>
        <w:instrText>ADDIN CSL_CITATION {"citationItems":[{"id":"ITEM-1","itemData":{"author":[{"dropping-particle":"","family":"Ma'mun","given":"Sukron","non-dropping-particle":"","parse-names":false,"suffix":""}],"container-title":"Alqalam: Jurnal Kajian Keislaman","id":"ITEM-1","issue":"1","issued":{"date-parts":[["2011"]]},"page":"63-86","title":"Ilhaq dalam Bahtsul Masa'il NU: Antara Ijtihad Dan Ikhtiyat","type":"article-journal","volume":"28"},"uris":["http://www.mendeley.com/documents/?uuid=4ae691e9-7590-4c14-beae-933967f61f58"]}],"mendeley":{"formattedCitation":"(Ma’mun, 2011)","plainTextFormattedCitation":"(Ma’mun, 2011)","previouslyFormattedCitation":"(Ma’mun, 2011)"},"properties":{"noteIndex":0},"schema":"https://github.com/citation-style-language/schema/raw/master/csl-citation.json"}</w:instrText>
      </w:r>
      <w:r w:rsidRPr="00C55B9C">
        <w:rPr>
          <w:rStyle w:val="FootnoteReference"/>
          <w:rFonts w:ascii="Palatino Linotype" w:hAnsi="Palatino Linotype" w:cs="Times New Roman"/>
          <w:sz w:val="24"/>
          <w:szCs w:val="24"/>
        </w:rPr>
        <w:fldChar w:fldCharType="separate"/>
      </w:r>
      <w:r w:rsidRPr="00C55B9C">
        <w:rPr>
          <w:rFonts w:ascii="Palatino Linotype" w:hAnsi="Palatino Linotype" w:cs="Times New Roman"/>
          <w:noProof/>
          <w:sz w:val="24"/>
          <w:szCs w:val="24"/>
        </w:rPr>
        <w:t>(Ma’mun, 2011)</w:t>
      </w:r>
      <w:r w:rsidRPr="00C55B9C">
        <w:rPr>
          <w:rStyle w:val="FootnoteReference"/>
          <w:rFonts w:ascii="Palatino Linotype" w:hAnsi="Palatino Linotype" w:cs="Times New Roman"/>
          <w:sz w:val="24"/>
          <w:szCs w:val="24"/>
        </w:rPr>
        <w:fldChar w:fldCharType="end"/>
      </w:r>
      <w:r w:rsidR="00CF26C7" w:rsidRPr="00C55B9C">
        <w:rPr>
          <w:rFonts w:ascii="Palatino Linotype" w:hAnsi="Palatino Linotype" w:cs="Times New Roman"/>
          <w:sz w:val="24"/>
          <w:szCs w:val="24"/>
        </w:rPr>
        <w:t>.</w:t>
      </w:r>
      <w:r w:rsidRPr="00C55B9C">
        <w:rPr>
          <w:rFonts w:ascii="Palatino Linotype" w:hAnsi="Palatino Linotype" w:cs="Times New Roman"/>
          <w:sz w:val="24"/>
          <w:szCs w:val="24"/>
        </w:rPr>
        <w:t xml:space="preserve"> Demikian halnya, dalam konteks kelompok Islam modern, keberanjakan metodologi fatwa juga belum menampakan perubahan dari era klasik. Kelompok Islam modern masih bertumpu pada metodologi lama yang dikembangkan ulama-ulama klasik,</w:t>
      </w:r>
      <w:r w:rsidRPr="00C55B9C">
        <w:rPr>
          <w:rStyle w:val="FootnoteReference"/>
          <w:rFonts w:ascii="Palatino Linotype" w:hAnsi="Palatino Linotype" w:cs="Times New Roman"/>
          <w:sz w:val="24"/>
          <w:szCs w:val="24"/>
        </w:rPr>
        <w:fldChar w:fldCharType="begin" w:fldLock="1"/>
      </w:r>
      <w:r w:rsidRPr="00C55B9C">
        <w:rPr>
          <w:rFonts w:ascii="Palatino Linotype" w:hAnsi="Palatino Linotype" w:cs="Times New Roman"/>
          <w:sz w:val="24"/>
          <w:szCs w:val="24"/>
        </w:rPr>
        <w:instrText>ADDIN CSL_CITATION {"citationItems":[{"id":"ITEM-1","itemData":{"DOI":"10.24269/muaddib.v1i2.1535","author":[{"dropping-particle":"","family":"Amalia","given":"Husna","non-dropping-particle":"","parse-names":false,"suffix":""}],"container-title":"Muaddib: Jurnal Studi Kependidikan dan Keislaman","id":"ITEM-1","issue":"2","issued":{"date-parts":[["2019"]]},"page":"119-129","title":"Muhammadiyah: Metode Dan Praktik Berijtihad","type":"article-journal","volume":"9"},"uris":["http://www.mendeley.com/documents/?uuid=2d8b6cec-20b6-4b16-8f68-09ab1bc75096"]}],"mendeley":{"formattedCitation":"(Amalia, 2019)","plainTextFormattedCitation":"(Amalia, 2019)","previouslyFormattedCitation":"(Amalia, 2019)"},"properties":{"noteIndex":0},"schema":"https://github.com/citation-style-language/schema/raw/master/csl-citation.json"}</w:instrText>
      </w:r>
      <w:r w:rsidRPr="00C55B9C">
        <w:rPr>
          <w:rStyle w:val="FootnoteReference"/>
          <w:rFonts w:ascii="Palatino Linotype" w:hAnsi="Palatino Linotype" w:cs="Times New Roman"/>
          <w:sz w:val="24"/>
          <w:szCs w:val="24"/>
        </w:rPr>
        <w:fldChar w:fldCharType="separate"/>
      </w:r>
      <w:r w:rsidRPr="00C55B9C">
        <w:rPr>
          <w:rFonts w:ascii="Palatino Linotype" w:hAnsi="Palatino Linotype" w:cs="Times New Roman"/>
          <w:noProof/>
          <w:sz w:val="24"/>
          <w:szCs w:val="24"/>
        </w:rPr>
        <w:t>(Amalia, 2019)</w:t>
      </w:r>
      <w:r w:rsidRPr="00C55B9C">
        <w:rPr>
          <w:rStyle w:val="FootnoteReference"/>
          <w:rFonts w:ascii="Palatino Linotype" w:hAnsi="Palatino Linotype" w:cs="Times New Roman"/>
          <w:sz w:val="24"/>
          <w:szCs w:val="24"/>
        </w:rPr>
        <w:fldChar w:fldCharType="end"/>
      </w:r>
      <w:r w:rsidRPr="00C55B9C">
        <w:rPr>
          <w:rFonts w:ascii="Palatino Linotype" w:hAnsi="Palatino Linotype" w:cs="Times New Roman"/>
          <w:sz w:val="24"/>
          <w:szCs w:val="24"/>
        </w:rPr>
        <w:t xml:space="preserve"> </w:t>
      </w:r>
      <w:r w:rsidR="00355977" w:rsidRPr="00C55B9C">
        <w:rPr>
          <w:rFonts w:ascii="Palatino Linotype" w:hAnsi="Palatino Linotype" w:cs="Times New Roman"/>
          <w:sz w:val="24"/>
          <w:szCs w:val="24"/>
        </w:rPr>
        <w:t>dan belum bisa keluar dari zona nyaman masa lalu, dengan menambahkan dan merubah fitur-fitur metode ijtihad yang lebih fresh dan responsive, dan kalaupun itu ada perubahan</w:t>
      </w:r>
      <w:r w:rsidR="00297AB7" w:rsidRPr="00C55B9C">
        <w:rPr>
          <w:rFonts w:ascii="Palatino Linotype" w:hAnsi="Palatino Linotype" w:cs="Times New Roman"/>
          <w:sz w:val="24"/>
          <w:szCs w:val="24"/>
        </w:rPr>
        <w:t xml:space="preserve"> dan pembaharuan</w:t>
      </w:r>
      <w:r w:rsidR="00355977" w:rsidRPr="00C55B9C">
        <w:rPr>
          <w:rFonts w:ascii="Palatino Linotype" w:hAnsi="Palatino Linotype" w:cs="Times New Roman"/>
          <w:sz w:val="24"/>
          <w:szCs w:val="24"/>
        </w:rPr>
        <w:t xml:space="preserve">, </w:t>
      </w:r>
      <w:r w:rsidR="00297AB7" w:rsidRPr="00C55B9C">
        <w:rPr>
          <w:rFonts w:ascii="Palatino Linotype" w:hAnsi="Palatino Linotype" w:cs="Times New Roman"/>
          <w:sz w:val="24"/>
          <w:szCs w:val="24"/>
        </w:rPr>
        <w:t xml:space="preserve">skopnya </w:t>
      </w:r>
      <w:r w:rsidR="00355977" w:rsidRPr="00C55B9C">
        <w:rPr>
          <w:rFonts w:ascii="Palatino Linotype" w:hAnsi="Palatino Linotype" w:cs="Times New Roman"/>
          <w:sz w:val="24"/>
          <w:szCs w:val="24"/>
        </w:rPr>
        <w:t xml:space="preserve">masih sangat kecil </w:t>
      </w:r>
      <w:r w:rsidR="00E4406D" w:rsidRPr="00C55B9C">
        <w:rPr>
          <w:rFonts w:ascii="Palatino Linotype" w:hAnsi="Palatino Linotype" w:cs="Times New Roman"/>
          <w:sz w:val="24"/>
          <w:szCs w:val="24"/>
        </w:rPr>
        <w:t xml:space="preserve">dan terbatas </w:t>
      </w:r>
      <w:r w:rsidR="00355977" w:rsidRPr="00C55B9C">
        <w:rPr>
          <w:rFonts w:ascii="Palatino Linotype" w:hAnsi="Palatino Linotype" w:cs="Times New Roman"/>
          <w:sz w:val="24"/>
          <w:szCs w:val="24"/>
        </w:rPr>
        <w:t xml:space="preserve">sekali. </w:t>
      </w:r>
    </w:p>
    <w:p w:rsidR="00355977" w:rsidRPr="00C55B9C" w:rsidRDefault="00D7180E" w:rsidP="00A769E1">
      <w:pPr>
        <w:widowControl w:val="0"/>
        <w:spacing w:after="120" w:line="240" w:lineRule="auto"/>
        <w:ind w:firstLine="567"/>
        <w:jc w:val="both"/>
        <w:rPr>
          <w:rFonts w:ascii="Palatino Linotype" w:hAnsi="Palatino Linotype" w:cs="Times New Roman"/>
          <w:sz w:val="24"/>
          <w:szCs w:val="24"/>
        </w:rPr>
      </w:pPr>
      <w:r w:rsidRPr="00C55B9C">
        <w:rPr>
          <w:rFonts w:ascii="Palatino Linotype" w:hAnsi="Palatino Linotype" w:cs="Times New Roman"/>
          <w:sz w:val="24"/>
          <w:szCs w:val="24"/>
        </w:rPr>
        <w:t>Sehingga d</w:t>
      </w:r>
      <w:r w:rsidR="00B13C02" w:rsidRPr="00C55B9C">
        <w:rPr>
          <w:rFonts w:ascii="Palatino Linotype" w:hAnsi="Palatino Linotype" w:cs="Times New Roman"/>
          <w:sz w:val="24"/>
          <w:szCs w:val="24"/>
        </w:rPr>
        <w:t xml:space="preserve">alam konteks praktis fatwa, tawaran ketiga tokoh tersebut belum </w:t>
      </w:r>
      <w:r w:rsidRPr="00C55B9C">
        <w:rPr>
          <w:rFonts w:ascii="Palatino Linotype" w:hAnsi="Palatino Linotype" w:cs="Times New Roman"/>
          <w:sz w:val="24"/>
          <w:szCs w:val="24"/>
        </w:rPr>
        <w:t>men</w:t>
      </w:r>
      <w:r w:rsidR="00B13C02" w:rsidRPr="00C55B9C">
        <w:rPr>
          <w:rFonts w:ascii="Palatino Linotype" w:hAnsi="Palatino Linotype" w:cs="Times New Roman"/>
          <w:sz w:val="24"/>
          <w:szCs w:val="24"/>
        </w:rPr>
        <w:t>ampak</w:t>
      </w:r>
      <w:r w:rsidRPr="00C55B9C">
        <w:rPr>
          <w:rFonts w:ascii="Palatino Linotype" w:hAnsi="Palatino Linotype" w:cs="Times New Roman"/>
          <w:sz w:val="24"/>
          <w:szCs w:val="24"/>
        </w:rPr>
        <w:t>an hasil</w:t>
      </w:r>
      <w:r w:rsidR="00B13C02" w:rsidRPr="00C55B9C">
        <w:rPr>
          <w:rFonts w:ascii="Palatino Linotype" w:hAnsi="Palatino Linotype" w:cs="Times New Roman"/>
          <w:sz w:val="24"/>
          <w:szCs w:val="24"/>
        </w:rPr>
        <w:t xml:space="preserve"> dalam praktik rumusan-rumasan fatwa. Dan ini nampaknya masih membutuhkan waktu untuk dapat diter</w:t>
      </w:r>
      <w:r w:rsidR="00D46D8E" w:rsidRPr="00C55B9C">
        <w:rPr>
          <w:rFonts w:ascii="Palatino Linotype" w:hAnsi="Palatino Linotype" w:cs="Times New Roman"/>
          <w:sz w:val="24"/>
          <w:szCs w:val="24"/>
        </w:rPr>
        <w:t xml:space="preserve">ima dalam lingkaran ulama yang terlibat dalam kerja </w:t>
      </w:r>
      <w:r w:rsidR="00B13C02" w:rsidRPr="00C55B9C">
        <w:rPr>
          <w:rFonts w:ascii="Palatino Linotype" w:hAnsi="Palatino Linotype" w:cs="Times New Roman"/>
          <w:sz w:val="24"/>
          <w:szCs w:val="24"/>
        </w:rPr>
        <w:t xml:space="preserve">fatwa. Hal ini berbeda dengan lingkup akademik, banyak para sarjana yang menrauh minat untuk melakukan kajian terhadap tawaran pembaharuan metodologi fatwa ketiga tokoh ini. Banyak karya akademik dari gagasan-gagasan yang disuarakan dan diteorisasikan oleh ketiga tokoh ini.  </w:t>
      </w:r>
    </w:p>
    <w:p w:rsidR="00A14589" w:rsidRPr="00C55B9C" w:rsidRDefault="00A14589" w:rsidP="00A14589">
      <w:pPr>
        <w:tabs>
          <w:tab w:val="left" w:pos="4820"/>
        </w:tabs>
        <w:spacing w:after="0" w:line="276" w:lineRule="auto"/>
        <w:ind w:firstLine="360"/>
        <w:jc w:val="center"/>
        <w:rPr>
          <w:rFonts w:ascii="Palatino Linotype" w:hAnsi="Palatino Linotype" w:cs="Times New Roman"/>
          <w:sz w:val="24"/>
          <w:szCs w:val="24"/>
        </w:rPr>
      </w:pPr>
    </w:p>
    <w:p w:rsidR="00A14589" w:rsidRPr="00C55B9C" w:rsidRDefault="007162F7" w:rsidP="00E166F6">
      <w:pPr>
        <w:pStyle w:val="Heading2"/>
        <w:numPr>
          <w:ilvl w:val="0"/>
          <w:numId w:val="2"/>
        </w:numPr>
        <w:jc w:val="both"/>
        <w:rPr>
          <w:rFonts w:ascii="Palatino Linotype" w:hAnsi="Palatino Linotype" w:cs="Times New Roman"/>
          <w:b/>
          <w:bCs/>
          <w:color w:val="000000" w:themeColor="text1"/>
          <w:sz w:val="24"/>
          <w:szCs w:val="24"/>
        </w:rPr>
      </w:pPr>
      <w:r w:rsidRPr="00C55B9C">
        <w:rPr>
          <w:rFonts w:ascii="Palatino Linotype" w:hAnsi="Palatino Linotype" w:cs="Times New Roman"/>
          <w:b/>
          <w:bCs/>
          <w:color w:val="000000" w:themeColor="text1"/>
          <w:sz w:val="24"/>
          <w:szCs w:val="24"/>
        </w:rPr>
        <w:t>KESIMPULAN</w:t>
      </w:r>
    </w:p>
    <w:p w:rsidR="00EF358D" w:rsidRPr="00C55B9C" w:rsidRDefault="004D2B98" w:rsidP="00A769E1">
      <w:pPr>
        <w:widowControl w:val="0"/>
        <w:spacing w:after="120" w:line="240" w:lineRule="auto"/>
        <w:ind w:firstLine="567"/>
        <w:jc w:val="both"/>
        <w:rPr>
          <w:rFonts w:ascii="Palatino Linotype" w:hAnsi="Palatino Linotype" w:cs="Times New Roman"/>
          <w:sz w:val="24"/>
          <w:szCs w:val="24"/>
        </w:rPr>
      </w:pPr>
      <w:r w:rsidRPr="00C55B9C">
        <w:rPr>
          <w:rFonts w:ascii="Palatino Linotype" w:hAnsi="Palatino Linotype" w:cs="Times New Roman"/>
          <w:sz w:val="24"/>
          <w:szCs w:val="24"/>
        </w:rPr>
        <w:t>Dari pembahasan di atas dapat disimpulkan, bahwa fatwa dan ijtihad kontemporer hanya berfokus pada keilmuan lama (klasik) dan abai terhadap keilmuan baru, maka fatwa-fatwa itu sesungguhnya tidak menjawab persoalan</w:t>
      </w:r>
      <w:r w:rsidR="009D0E84" w:rsidRPr="00C55B9C">
        <w:rPr>
          <w:rFonts w:ascii="Palatino Linotype" w:hAnsi="Palatino Linotype" w:cs="Times New Roman"/>
          <w:sz w:val="24"/>
          <w:szCs w:val="24"/>
        </w:rPr>
        <w:t>, b</w:t>
      </w:r>
      <w:r w:rsidRPr="00C55B9C">
        <w:rPr>
          <w:rFonts w:ascii="Palatino Linotype" w:hAnsi="Palatino Linotype" w:cs="Times New Roman"/>
          <w:sz w:val="24"/>
          <w:szCs w:val="24"/>
        </w:rPr>
        <w:t>ahkan dalam titik tertentu</w:t>
      </w:r>
      <w:r w:rsidR="009D0E84" w:rsidRPr="00C55B9C">
        <w:rPr>
          <w:rFonts w:ascii="Palatino Linotype" w:hAnsi="Palatino Linotype" w:cs="Times New Roman"/>
          <w:sz w:val="24"/>
          <w:szCs w:val="24"/>
        </w:rPr>
        <w:t>,</w:t>
      </w:r>
      <w:r w:rsidRPr="00C55B9C">
        <w:rPr>
          <w:rFonts w:ascii="Palatino Linotype" w:hAnsi="Palatino Linotype" w:cs="Times New Roman"/>
          <w:sz w:val="24"/>
          <w:szCs w:val="24"/>
        </w:rPr>
        <w:t xml:space="preserve"> </w:t>
      </w:r>
      <w:r w:rsidR="009D0E84" w:rsidRPr="00C55B9C">
        <w:rPr>
          <w:rFonts w:ascii="Palatino Linotype" w:hAnsi="Palatino Linotype" w:cs="Times New Roman"/>
          <w:sz w:val="24"/>
          <w:szCs w:val="24"/>
        </w:rPr>
        <w:t xml:space="preserve">fatwa itu </w:t>
      </w:r>
      <w:r w:rsidRPr="00C55B9C">
        <w:rPr>
          <w:rFonts w:ascii="Palatino Linotype" w:hAnsi="Palatino Linotype" w:cs="Times New Roman"/>
          <w:sz w:val="24"/>
          <w:szCs w:val="24"/>
        </w:rPr>
        <w:t xml:space="preserve">justru menghadirkan masalah </w:t>
      </w:r>
      <w:r w:rsidR="003E6BDC" w:rsidRPr="00C55B9C">
        <w:rPr>
          <w:rFonts w:ascii="Palatino Linotype" w:hAnsi="Palatino Linotype" w:cs="Times New Roman"/>
          <w:sz w:val="24"/>
          <w:szCs w:val="24"/>
        </w:rPr>
        <w:t>baru bagi</w:t>
      </w:r>
      <w:r w:rsidR="009D0E84" w:rsidRPr="00C55B9C">
        <w:rPr>
          <w:rFonts w:ascii="Palatino Linotype" w:hAnsi="Palatino Linotype" w:cs="Times New Roman"/>
          <w:sz w:val="24"/>
          <w:szCs w:val="24"/>
        </w:rPr>
        <w:t xml:space="preserve"> umat</w:t>
      </w:r>
      <w:r w:rsidRPr="00C55B9C">
        <w:rPr>
          <w:rFonts w:ascii="Palatino Linotype" w:hAnsi="Palatino Linotype" w:cs="Times New Roman"/>
          <w:sz w:val="24"/>
          <w:szCs w:val="24"/>
        </w:rPr>
        <w:t xml:space="preserve">. Padahal tujuan utama fatwa adalah menyelesaikan dan memberikan jawaban terhadap persoalan yang sedang dihadapi umat. Dari realitas demikian itu, para ilmuwan Muslim memberikan jalan keluar terhadap terdegradasinya tujuan fatwa bagi kehidupan umat, dengan menawarkan metodologi ijtihad baru dalam merespon persoalan-persoalan baru tersebut. </w:t>
      </w:r>
    </w:p>
    <w:p w:rsidR="005F06E3" w:rsidRPr="00C55B9C" w:rsidRDefault="005F06E3" w:rsidP="00A769E1">
      <w:pPr>
        <w:widowControl w:val="0"/>
        <w:spacing w:after="120" w:line="240" w:lineRule="auto"/>
        <w:ind w:firstLine="567"/>
        <w:jc w:val="both"/>
        <w:rPr>
          <w:rFonts w:ascii="Palatino Linotype" w:hAnsi="Palatino Linotype" w:cs="Times New Roman"/>
          <w:sz w:val="24"/>
          <w:szCs w:val="24"/>
        </w:rPr>
      </w:pPr>
      <w:r w:rsidRPr="00C55B9C">
        <w:rPr>
          <w:rFonts w:ascii="Palatino Linotype" w:hAnsi="Palatino Linotype" w:cs="Times New Roman"/>
          <w:sz w:val="24"/>
          <w:szCs w:val="24"/>
        </w:rPr>
        <w:t>Ketiga pakar yang dihadirkan dalam pembahasan di atas, M. Amin Abdullah, Khalid Abou al-</w:t>
      </w:r>
      <w:r w:rsidR="00CF26C7" w:rsidRPr="00C55B9C">
        <w:rPr>
          <w:rFonts w:ascii="Palatino Linotype" w:hAnsi="Palatino Linotype" w:cs="Times New Roman"/>
          <w:sz w:val="24"/>
          <w:szCs w:val="24"/>
        </w:rPr>
        <w:t>F</w:t>
      </w:r>
      <w:r w:rsidRPr="00C55B9C">
        <w:rPr>
          <w:rFonts w:ascii="Palatino Linotype" w:hAnsi="Palatino Linotype" w:cs="Times New Roman"/>
          <w:sz w:val="24"/>
          <w:szCs w:val="24"/>
        </w:rPr>
        <w:t xml:space="preserve">adl, dan Jasser Auda secara simultan menekankan tentang makna penting integrasi interkoneksi keilmuan, sehingga fatwa atau ijtihad yang dihasilkan itu holistic, rasional, dan solutif. M. Amin Abdullah memberikan solusi problem fatwa dengan </w:t>
      </w:r>
      <w:r w:rsidR="003E6BDC" w:rsidRPr="00C55B9C">
        <w:rPr>
          <w:rFonts w:ascii="Palatino Linotype" w:hAnsi="Palatino Linotype" w:cs="Times New Roman"/>
          <w:sz w:val="24"/>
          <w:szCs w:val="24"/>
        </w:rPr>
        <w:t xml:space="preserve">menawarkan </w:t>
      </w:r>
      <w:r w:rsidRPr="00C55B9C">
        <w:rPr>
          <w:rFonts w:ascii="Palatino Linotype" w:hAnsi="Palatino Linotype" w:cs="Times New Roman"/>
          <w:sz w:val="24"/>
          <w:szCs w:val="24"/>
        </w:rPr>
        <w:t xml:space="preserve">pendekatan integrasi-interkoneksi terhadap berbagai disiplin keilmuan. </w:t>
      </w:r>
      <w:r w:rsidR="00641259" w:rsidRPr="00C55B9C">
        <w:rPr>
          <w:rFonts w:ascii="Palatino Linotype" w:hAnsi="Palatino Linotype" w:cs="Times New Roman"/>
          <w:sz w:val="24"/>
          <w:szCs w:val="24"/>
        </w:rPr>
        <w:t>Sementara Khalid Abou al-</w:t>
      </w:r>
      <w:r w:rsidR="00CF26C7" w:rsidRPr="00C55B9C">
        <w:rPr>
          <w:rFonts w:ascii="Palatino Linotype" w:hAnsi="Palatino Linotype" w:cs="Times New Roman"/>
          <w:sz w:val="24"/>
          <w:szCs w:val="24"/>
        </w:rPr>
        <w:t>F</w:t>
      </w:r>
      <w:r w:rsidR="00641259" w:rsidRPr="00C55B9C">
        <w:rPr>
          <w:rFonts w:ascii="Palatino Linotype" w:hAnsi="Palatino Linotype" w:cs="Times New Roman"/>
          <w:sz w:val="24"/>
          <w:szCs w:val="24"/>
        </w:rPr>
        <w:t>adl, menawarkan lima prasyarat (ceklist) yang harus dipenuhi bagi pemegang otoritas (</w:t>
      </w:r>
      <w:r w:rsidR="0058533F" w:rsidRPr="00C55B9C">
        <w:rPr>
          <w:rFonts w:ascii="Palatino Linotype" w:hAnsi="Palatino Linotype" w:cs="Times New Roman"/>
          <w:sz w:val="24"/>
          <w:szCs w:val="24"/>
        </w:rPr>
        <w:t>ulama, mujtahid</w:t>
      </w:r>
      <w:r w:rsidR="00641259" w:rsidRPr="00C55B9C">
        <w:rPr>
          <w:rFonts w:ascii="Palatino Linotype" w:hAnsi="Palatino Linotype" w:cs="Times New Roman"/>
          <w:sz w:val="24"/>
          <w:szCs w:val="24"/>
        </w:rPr>
        <w:t>)</w:t>
      </w:r>
      <w:r w:rsidR="00F409C3" w:rsidRPr="00C55B9C">
        <w:rPr>
          <w:rFonts w:ascii="Palatino Linotype" w:hAnsi="Palatino Linotype" w:cs="Times New Roman"/>
          <w:sz w:val="24"/>
          <w:szCs w:val="24"/>
        </w:rPr>
        <w:t xml:space="preserve">, yang selama </w:t>
      </w:r>
      <w:r w:rsidR="00F409C3" w:rsidRPr="00C55B9C">
        <w:rPr>
          <w:rFonts w:ascii="Palatino Linotype" w:hAnsi="Palatino Linotype" w:cs="Times New Roman"/>
          <w:sz w:val="24"/>
          <w:szCs w:val="24"/>
        </w:rPr>
        <w:lastRenderedPageBreak/>
        <w:t xml:space="preserve">ini </w:t>
      </w:r>
      <w:r w:rsidR="0058533F" w:rsidRPr="00C55B9C">
        <w:rPr>
          <w:rFonts w:ascii="Palatino Linotype" w:hAnsi="Palatino Linotype" w:cs="Times New Roman"/>
          <w:sz w:val="24"/>
          <w:szCs w:val="24"/>
        </w:rPr>
        <w:t xml:space="preserve">otoritas itu </w:t>
      </w:r>
      <w:r w:rsidR="00F409C3" w:rsidRPr="00C55B9C">
        <w:rPr>
          <w:rFonts w:ascii="Palatino Linotype" w:hAnsi="Palatino Linotype" w:cs="Times New Roman"/>
          <w:sz w:val="24"/>
          <w:szCs w:val="24"/>
        </w:rPr>
        <w:t>sering disalahgunakan oleh orang-orang tidak kompeten dan eksplotatif terhadap nash. Dengan ceklist yang ditawarkan oleh Abou al-Fadl</w:t>
      </w:r>
      <w:r w:rsidR="009D2327" w:rsidRPr="00C55B9C">
        <w:rPr>
          <w:rFonts w:ascii="Palatino Linotype" w:hAnsi="Palatino Linotype" w:cs="Times New Roman"/>
          <w:sz w:val="24"/>
          <w:szCs w:val="24"/>
        </w:rPr>
        <w:t>, fatwa</w:t>
      </w:r>
      <w:r w:rsidR="00641259" w:rsidRPr="00C55B9C">
        <w:rPr>
          <w:rFonts w:ascii="Palatino Linotype" w:hAnsi="Palatino Linotype" w:cs="Times New Roman"/>
          <w:sz w:val="24"/>
          <w:szCs w:val="24"/>
        </w:rPr>
        <w:t xml:space="preserve"> atau ijtihad yang dihasilkan</w:t>
      </w:r>
      <w:r w:rsidR="00F409C3" w:rsidRPr="00C55B9C">
        <w:rPr>
          <w:rFonts w:ascii="Palatino Linotype" w:hAnsi="Palatino Linotype" w:cs="Times New Roman"/>
          <w:sz w:val="24"/>
          <w:szCs w:val="24"/>
        </w:rPr>
        <w:t xml:space="preserve"> oleh seorang musjtahid itu </w:t>
      </w:r>
      <w:r w:rsidR="0058533F" w:rsidRPr="00C55B9C">
        <w:rPr>
          <w:rFonts w:ascii="Palatino Linotype" w:hAnsi="Palatino Linotype" w:cs="Times New Roman"/>
          <w:sz w:val="24"/>
          <w:szCs w:val="24"/>
        </w:rPr>
        <w:t xml:space="preserve">diharapkan </w:t>
      </w:r>
      <w:r w:rsidR="00F409C3" w:rsidRPr="00C55B9C">
        <w:rPr>
          <w:rFonts w:ascii="Palatino Linotype" w:hAnsi="Palatino Linotype" w:cs="Times New Roman"/>
          <w:sz w:val="24"/>
          <w:szCs w:val="24"/>
        </w:rPr>
        <w:t xml:space="preserve">menjadi </w:t>
      </w:r>
      <w:r w:rsidR="00641259" w:rsidRPr="00C55B9C">
        <w:rPr>
          <w:rFonts w:ascii="Palatino Linotype" w:hAnsi="Palatino Linotype" w:cs="Times New Roman"/>
          <w:sz w:val="24"/>
          <w:szCs w:val="24"/>
        </w:rPr>
        <w:t xml:space="preserve">otoritatif, tidak eksploitatif (otoriter). Kemudian, Jasser Auda memperkenalkan teori system </w:t>
      </w:r>
      <w:r w:rsidR="00F409C3" w:rsidRPr="00C55B9C">
        <w:rPr>
          <w:rFonts w:ascii="Palatino Linotype" w:hAnsi="Palatino Linotype" w:cs="Times New Roman"/>
          <w:sz w:val="24"/>
          <w:szCs w:val="24"/>
        </w:rPr>
        <w:t xml:space="preserve">dengan enam fitur yang harus ada </w:t>
      </w:r>
      <w:r w:rsidR="009D2327" w:rsidRPr="00C55B9C">
        <w:rPr>
          <w:rFonts w:ascii="Palatino Linotype" w:hAnsi="Palatino Linotype" w:cs="Times New Roman"/>
          <w:sz w:val="24"/>
          <w:szCs w:val="24"/>
        </w:rPr>
        <w:t xml:space="preserve">dalam kerangka kerja ijtihad, sehingga seorang mujtahid mampu </w:t>
      </w:r>
      <w:r w:rsidR="00641259" w:rsidRPr="00C55B9C">
        <w:rPr>
          <w:rFonts w:ascii="Palatino Linotype" w:hAnsi="Palatino Linotype" w:cs="Times New Roman"/>
          <w:sz w:val="24"/>
          <w:szCs w:val="24"/>
        </w:rPr>
        <w:t>membaca tujuan hokum Islam (maqashid Syariah)</w:t>
      </w:r>
      <w:r w:rsidR="009D2327" w:rsidRPr="00C55B9C">
        <w:rPr>
          <w:rFonts w:ascii="Palatino Linotype" w:hAnsi="Palatino Linotype" w:cs="Times New Roman"/>
          <w:sz w:val="24"/>
          <w:szCs w:val="24"/>
        </w:rPr>
        <w:t xml:space="preserve"> dengan baik</w:t>
      </w:r>
      <w:r w:rsidR="00641259" w:rsidRPr="00C55B9C">
        <w:rPr>
          <w:rFonts w:ascii="Palatino Linotype" w:hAnsi="Palatino Linotype" w:cs="Times New Roman"/>
          <w:sz w:val="24"/>
          <w:szCs w:val="24"/>
        </w:rPr>
        <w:t xml:space="preserve">.  </w:t>
      </w:r>
      <w:r w:rsidRPr="00C55B9C">
        <w:rPr>
          <w:rFonts w:ascii="Palatino Linotype" w:hAnsi="Palatino Linotype" w:cs="Times New Roman"/>
          <w:sz w:val="24"/>
          <w:szCs w:val="24"/>
        </w:rPr>
        <w:t xml:space="preserve">  </w:t>
      </w:r>
    </w:p>
    <w:p w:rsidR="00EE3F64" w:rsidRPr="00C55B9C" w:rsidRDefault="00EE3F64" w:rsidP="00EE3F64">
      <w:pPr>
        <w:pStyle w:val="ListParagraph"/>
        <w:spacing w:after="0" w:line="276" w:lineRule="auto"/>
        <w:jc w:val="both"/>
        <w:rPr>
          <w:rFonts w:ascii="Palatino Linotype" w:hAnsi="Palatino Linotype" w:cs="Times New Roman"/>
          <w:sz w:val="24"/>
          <w:szCs w:val="24"/>
        </w:rPr>
      </w:pPr>
    </w:p>
    <w:p w:rsidR="00D62A30" w:rsidRPr="00C55B9C" w:rsidRDefault="00D62A30" w:rsidP="00D62A30">
      <w:pPr>
        <w:pStyle w:val="Heading2"/>
        <w:jc w:val="both"/>
        <w:rPr>
          <w:rFonts w:ascii="Palatino Linotype" w:hAnsi="Palatino Linotype" w:cs="Times New Roman"/>
          <w:b/>
          <w:bCs/>
          <w:color w:val="000000" w:themeColor="text1"/>
          <w:sz w:val="24"/>
          <w:szCs w:val="24"/>
        </w:rPr>
      </w:pPr>
      <w:r w:rsidRPr="00C55B9C">
        <w:rPr>
          <w:rFonts w:ascii="Palatino Linotype" w:hAnsi="Palatino Linotype" w:cs="Times New Roman"/>
          <w:b/>
          <w:bCs/>
          <w:color w:val="000000" w:themeColor="text1"/>
          <w:sz w:val="24"/>
          <w:szCs w:val="24"/>
        </w:rPr>
        <w:t>DAFTAR PUSTAKA</w:t>
      </w:r>
    </w:p>
    <w:p w:rsidR="002C1E42" w:rsidRPr="00C55B9C" w:rsidRDefault="00D62A30" w:rsidP="002C1E42">
      <w:pPr>
        <w:widowControl w:val="0"/>
        <w:autoSpaceDE w:val="0"/>
        <w:autoSpaceDN w:val="0"/>
        <w:adjustRightInd w:val="0"/>
        <w:spacing w:line="240" w:lineRule="auto"/>
        <w:ind w:left="480" w:hanging="480"/>
        <w:rPr>
          <w:rFonts w:ascii="Palatino Linotype" w:hAnsi="Palatino Linotype" w:cs="Times New Roman"/>
          <w:noProof/>
          <w:sz w:val="24"/>
          <w:szCs w:val="24"/>
        </w:rPr>
      </w:pPr>
      <w:r w:rsidRPr="00C55B9C">
        <w:rPr>
          <w:rFonts w:ascii="Palatino Linotype" w:hAnsi="Palatino Linotype" w:cs="Times New Roman"/>
          <w:sz w:val="24"/>
          <w:szCs w:val="24"/>
        </w:rPr>
        <w:fldChar w:fldCharType="begin" w:fldLock="1"/>
      </w:r>
      <w:r w:rsidRPr="00C55B9C">
        <w:rPr>
          <w:rFonts w:ascii="Palatino Linotype" w:hAnsi="Palatino Linotype" w:cs="Times New Roman"/>
          <w:sz w:val="24"/>
          <w:szCs w:val="24"/>
        </w:rPr>
        <w:instrText xml:space="preserve">ADDIN Mendeley Bibliography CSL_BIBLIOGRAPHY </w:instrText>
      </w:r>
      <w:r w:rsidRPr="00C55B9C">
        <w:rPr>
          <w:rFonts w:ascii="Palatino Linotype" w:hAnsi="Palatino Linotype" w:cs="Times New Roman"/>
          <w:sz w:val="24"/>
          <w:szCs w:val="24"/>
        </w:rPr>
        <w:fldChar w:fldCharType="separate"/>
      </w:r>
      <w:r w:rsidR="002C1E42" w:rsidRPr="00C55B9C">
        <w:rPr>
          <w:rFonts w:ascii="Palatino Linotype" w:hAnsi="Palatino Linotype" w:cs="Times New Roman"/>
          <w:noProof/>
          <w:sz w:val="24"/>
          <w:szCs w:val="24"/>
        </w:rPr>
        <w:t xml:space="preserve">Abdullah, M. A. (2003). Pendekatam Hermeneutik dalam Studi Fatwa-fatwa Keagamaan: Proses Negosiasi Komunitas Pencari makna Teks, pengarang, dan Pembaca. In R. C. L. Hakim &amp; M. Musthafa (Eds.), </w:t>
      </w:r>
      <w:r w:rsidR="002C1E42" w:rsidRPr="00C55B9C">
        <w:rPr>
          <w:rFonts w:ascii="Palatino Linotype" w:hAnsi="Palatino Linotype" w:cs="Times New Roman"/>
          <w:i/>
          <w:iCs/>
          <w:noProof/>
          <w:sz w:val="24"/>
          <w:szCs w:val="24"/>
        </w:rPr>
        <w:t>Atas Nama Tuhan: Dari Fikih Otoriter ke Fikih Otoritatif</w:t>
      </w:r>
      <w:r w:rsidR="002C1E42" w:rsidRPr="00C55B9C">
        <w:rPr>
          <w:rFonts w:ascii="Palatino Linotype" w:hAnsi="Palatino Linotype" w:cs="Times New Roman"/>
          <w:noProof/>
          <w:sz w:val="24"/>
          <w:szCs w:val="24"/>
        </w:rPr>
        <w:t xml:space="preserve"> (1st ed., pp. vii–xvii). Jakarta, Indonesia: PT Serambi Ilmu Semesta.</w:t>
      </w:r>
    </w:p>
    <w:p w:rsidR="002C1E42" w:rsidRPr="00C55B9C" w:rsidRDefault="002C1E42" w:rsidP="002C1E42">
      <w:pPr>
        <w:widowControl w:val="0"/>
        <w:autoSpaceDE w:val="0"/>
        <w:autoSpaceDN w:val="0"/>
        <w:adjustRightInd w:val="0"/>
        <w:spacing w:line="240" w:lineRule="auto"/>
        <w:ind w:left="480" w:hanging="480"/>
        <w:rPr>
          <w:rFonts w:ascii="Palatino Linotype" w:hAnsi="Palatino Linotype" w:cs="Times New Roman"/>
          <w:noProof/>
          <w:sz w:val="24"/>
          <w:szCs w:val="24"/>
        </w:rPr>
      </w:pPr>
      <w:r w:rsidRPr="00C55B9C">
        <w:rPr>
          <w:rFonts w:ascii="Palatino Linotype" w:hAnsi="Palatino Linotype" w:cs="Times New Roman"/>
          <w:noProof/>
          <w:sz w:val="24"/>
          <w:szCs w:val="24"/>
        </w:rPr>
        <w:t xml:space="preserve">Abdullah, M. A. (2006). </w:t>
      </w:r>
      <w:r w:rsidRPr="00C55B9C">
        <w:rPr>
          <w:rFonts w:ascii="Palatino Linotype" w:hAnsi="Palatino Linotype" w:cs="Times New Roman"/>
          <w:i/>
          <w:iCs/>
          <w:noProof/>
          <w:sz w:val="24"/>
          <w:szCs w:val="24"/>
        </w:rPr>
        <w:t>Islamic Studies di Perguruan Tinggi: Paradigma Integratif-Interkonektif</w:t>
      </w:r>
      <w:r w:rsidRPr="00C55B9C">
        <w:rPr>
          <w:rFonts w:ascii="Palatino Linotype" w:hAnsi="Palatino Linotype" w:cs="Times New Roman"/>
          <w:noProof/>
          <w:sz w:val="24"/>
          <w:szCs w:val="24"/>
        </w:rPr>
        <w:t xml:space="preserve"> (1st ed.). Yogykarta: Pustaka Pelajar.</w:t>
      </w:r>
    </w:p>
    <w:p w:rsidR="002C1E42" w:rsidRPr="00C55B9C" w:rsidRDefault="002C1E42" w:rsidP="002C1E42">
      <w:pPr>
        <w:widowControl w:val="0"/>
        <w:autoSpaceDE w:val="0"/>
        <w:autoSpaceDN w:val="0"/>
        <w:adjustRightInd w:val="0"/>
        <w:spacing w:line="240" w:lineRule="auto"/>
        <w:ind w:left="480" w:hanging="480"/>
        <w:rPr>
          <w:rFonts w:ascii="Palatino Linotype" w:hAnsi="Palatino Linotype" w:cs="Times New Roman"/>
          <w:noProof/>
          <w:sz w:val="24"/>
          <w:szCs w:val="24"/>
        </w:rPr>
      </w:pPr>
      <w:r w:rsidRPr="00C55B9C">
        <w:rPr>
          <w:rFonts w:ascii="Palatino Linotype" w:hAnsi="Palatino Linotype" w:cs="Times New Roman"/>
          <w:noProof/>
          <w:sz w:val="24"/>
          <w:szCs w:val="24"/>
        </w:rPr>
        <w:t xml:space="preserve">Abdullah, M. A. (2014). Implementasi Pendekatan Integratif-Interkonektif Dalam Kajian Pemikiran Pendidikan Islam (Fresh Ijtihad Memperjumpakan Ulum Al-Din Dan Sains Modern Dalam Pemikiran Pendidikan Islam). In Maragustam (Ed.), </w:t>
      </w:r>
      <w:r w:rsidRPr="00C55B9C">
        <w:rPr>
          <w:rFonts w:ascii="Palatino Linotype" w:hAnsi="Palatino Linotype" w:cs="Times New Roman"/>
          <w:i/>
          <w:iCs/>
          <w:noProof/>
          <w:sz w:val="24"/>
          <w:szCs w:val="24"/>
        </w:rPr>
        <w:t>Implementasi Pendekatan Integratif-Interkonektif Dalam Kajian Pendidikan Islam</w:t>
      </w:r>
      <w:r w:rsidRPr="00C55B9C">
        <w:rPr>
          <w:rFonts w:ascii="Palatino Linotype" w:hAnsi="Palatino Linotype" w:cs="Times New Roman"/>
          <w:noProof/>
          <w:sz w:val="24"/>
          <w:szCs w:val="24"/>
        </w:rPr>
        <w:t xml:space="preserve"> (1st ed., pp. 1–32). Yogyakarta, Indonesia: Pascasarjana UIN Sunan Kalijaga Yogyakarta.</w:t>
      </w:r>
    </w:p>
    <w:p w:rsidR="002C1E42" w:rsidRPr="00C55B9C" w:rsidRDefault="002C1E42" w:rsidP="002C1E42">
      <w:pPr>
        <w:widowControl w:val="0"/>
        <w:autoSpaceDE w:val="0"/>
        <w:autoSpaceDN w:val="0"/>
        <w:adjustRightInd w:val="0"/>
        <w:spacing w:line="240" w:lineRule="auto"/>
        <w:ind w:left="480" w:hanging="480"/>
        <w:rPr>
          <w:rFonts w:ascii="Palatino Linotype" w:hAnsi="Palatino Linotype" w:cs="Times New Roman"/>
          <w:noProof/>
          <w:sz w:val="24"/>
          <w:szCs w:val="24"/>
        </w:rPr>
      </w:pPr>
      <w:r w:rsidRPr="00C55B9C">
        <w:rPr>
          <w:rFonts w:ascii="Palatino Linotype" w:hAnsi="Palatino Linotype" w:cs="Times New Roman"/>
          <w:noProof/>
          <w:sz w:val="24"/>
          <w:szCs w:val="24"/>
        </w:rPr>
        <w:t xml:space="preserve">Abdullah, M. A. (2019). </w:t>
      </w:r>
      <w:r w:rsidRPr="00C55B9C">
        <w:rPr>
          <w:rFonts w:ascii="Palatino Linotype" w:hAnsi="Palatino Linotype" w:cs="Times New Roman"/>
          <w:i/>
          <w:iCs/>
          <w:noProof/>
          <w:sz w:val="24"/>
          <w:szCs w:val="24"/>
        </w:rPr>
        <w:t>Fresh Ijtihad: Manhaj Pemikiran Keislaman Muhammadiyah di Era Disrupsi</w:t>
      </w:r>
      <w:r w:rsidRPr="00C55B9C">
        <w:rPr>
          <w:rFonts w:ascii="Palatino Linotype" w:hAnsi="Palatino Linotype" w:cs="Times New Roman"/>
          <w:noProof/>
          <w:sz w:val="24"/>
          <w:szCs w:val="24"/>
        </w:rPr>
        <w:t xml:space="preserve"> (1st ed.; Azaki Khoirudin, Ed.). Yogyakarta: Suara Muhammadiyah.</w:t>
      </w:r>
    </w:p>
    <w:p w:rsidR="002C1E42" w:rsidRPr="00C55B9C" w:rsidRDefault="002C1E42" w:rsidP="002C1E42">
      <w:pPr>
        <w:widowControl w:val="0"/>
        <w:autoSpaceDE w:val="0"/>
        <w:autoSpaceDN w:val="0"/>
        <w:adjustRightInd w:val="0"/>
        <w:spacing w:line="240" w:lineRule="auto"/>
        <w:ind w:left="480" w:hanging="480"/>
        <w:rPr>
          <w:rFonts w:ascii="Palatino Linotype" w:hAnsi="Palatino Linotype" w:cs="Times New Roman"/>
          <w:noProof/>
          <w:sz w:val="24"/>
          <w:szCs w:val="24"/>
        </w:rPr>
      </w:pPr>
      <w:r w:rsidRPr="00C55B9C">
        <w:rPr>
          <w:rFonts w:ascii="Palatino Linotype" w:hAnsi="Palatino Linotype" w:cs="Times New Roman"/>
          <w:noProof/>
          <w:sz w:val="24"/>
          <w:szCs w:val="24"/>
        </w:rPr>
        <w:t xml:space="preserve">Abdullah, M. A. (2020). </w:t>
      </w:r>
      <w:r w:rsidRPr="00C55B9C">
        <w:rPr>
          <w:rFonts w:ascii="Palatino Linotype" w:hAnsi="Palatino Linotype" w:cs="Times New Roman"/>
          <w:i/>
          <w:iCs/>
          <w:noProof/>
          <w:sz w:val="24"/>
          <w:szCs w:val="24"/>
        </w:rPr>
        <w:t>Multidisiplin, Interdisiplin, dan Transdisiplin: Metode Studi Agama dan Studi Islam di Era Kontemporer</w:t>
      </w:r>
      <w:r w:rsidRPr="00C55B9C">
        <w:rPr>
          <w:rFonts w:ascii="Palatino Linotype" w:hAnsi="Palatino Linotype" w:cs="Times New Roman"/>
          <w:noProof/>
          <w:sz w:val="24"/>
          <w:szCs w:val="24"/>
        </w:rPr>
        <w:t xml:space="preserve"> (2nd ed.; A. Khoirudin, Ed.). Yogyakarta, Indonesia: IB Pustaka.</w:t>
      </w:r>
    </w:p>
    <w:p w:rsidR="002C1E42" w:rsidRPr="00C55B9C" w:rsidRDefault="002C1E42" w:rsidP="002C1E42">
      <w:pPr>
        <w:widowControl w:val="0"/>
        <w:autoSpaceDE w:val="0"/>
        <w:autoSpaceDN w:val="0"/>
        <w:adjustRightInd w:val="0"/>
        <w:spacing w:line="240" w:lineRule="auto"/>
        <w:ind w:left="480" w:hanging="480"/>
        <w:rPr>
          <w:rFonts w:ascii="Palatino Linotype" w:hAnsi="Palatino Linotype" w:cs="Times New Roman"/>
          <w:noProof/>
          <w:sz w:val="24"/>
          <w:szCs w:val="24"/>
        </w:rPr>
      </w:pPr>
      <w:r w:rsidRPr="00C55B9C">
        <w:rPr>
          <w:rFonts w:ascii="Palatino Linotype" w:hAnsi="Palatino Linotype" w:cs="Times New Roman"/>
          <w:noProof/>
          <w:sz w:val="24"/>
          <w:szCs w:val="24"/>
        </w:rPr>
        <w:t xml:space="preserve">Al-Misri, A. A. A. bi S. (2006). </w:t>
      </w:r>
      <w:r w:rsidRPr="00C55B9C">
        <w:rPr>
          <w:rFonts w:ascii="Palatino Linotype" w:hAnsi="Palatino Linotype" w:cs="Times New Roman"/>
          <w:i/>
          <w:iCs/>
          <w:noProof/>
          <w:sz w:val="24"/>
          <w:szCs w:val="24"/>
        </w:rPr>
        <w:t>Fatwa Fatwa Terlengkap Seputar Terrorisme, Jihad dan Mengkafirkan Muslim</w:t>
      </w:r>
      <w:r w:rsidRPr="00C55B9C">
        <w:rPr>
          <w:rFonts w:ascii="Palatino Linotype" w:hAnsi="Palatino Linotype" w:cs="Times New Roman"/>
          <w:noProof/>
          <w:sz w:val="24"/>
          <w:szCs w:val="24"/>
        </w:rPr>
        <w:t xml:space="preserve"> (1st ed.; M. I. Amrullah &amp; M. Aini, Eds.). Retrieved from https://b-ok.asia/ireader/3600360</w:t>
      </w:r>
    </w:p>
    <w:p w:rsidR="002C1E42" w:rsidRPr="00C55B9C" w:rsidRDefault="002C1E42" w:rsidP="002C1E42">
      <w:pPr>
        <w:widowControl w:val="0"/>
        <w:autoSpaceDE w:val="0"/>
        <w:autoSpaceDN w:val="0"/>
        <w:adjustRightInd w:val="0"/>
        <w:spacing w:line="240" w:lineRule="auto"/>
        <w:ind w:left="480" w:hanging="480"/>
        <w:rPr>
          <w:rFonts w:ascii="Palatino Linotype" w:hAnsi="Palatino Linotype" w:cs="Times New Roman"/>
          <w:noProof/>
          <w:sz w:val="24"/>
          <w:szCs w:val="24"/>
        </w:rPr>
      </w:pPr>
      <w:r w:rsidRPr="00C55B9C">
        <w:rPr>
          <w:rFonts w:ascii="Palatino Linotype" w:hAnsi="Palatino Linotype" w:cs="Times New Roman"/>
          <w:noProof/>
          <w:sz w:val="24"/>
          <w:szCs w:val="24"/>
        </w:rPr>
        <w:t xml:space="preserve">Al-Nasir, M. H. (2004). </w:t>
      </w:r>
      <w:r w:rsidRPr="00C55B9C">
        <w:rPr>
          <w:rFonts w:ascii="Palatino Linotype" w:hAnsi="Palatino Linotype" w:cs="Times New Roman"/>
          <w:i/>
          <w:iCs/>
          <w:noProof/>
          <w:sz w:val="24"/>
          <w:szCs w:val="24"/>
        </w:rPr>
        <w:t>Menjawab Modernisasi Islam: Membedah Pemikiran Jamaludin Al-Afghani hingga Islam Liberal</w:t>
      </w:r>
      <w:r w:rsidRPr="00C55B9C">
        <w:rPr>
          <w:rFonts w:ascii="Palatino Linotype" w:hAnsi="Palatino Linotype" w:cs="Times New Roman"/>
          <w:noProof/>
          <w:sz w:val="24"/>
          <w:szCs w:val="24"/>
        </w:rPr>
        <w:t xml:space="preserve"> (1st ed.; A. U. Basyir &amp; A. A. Sjihab, Eds.). Retrieved from https://b-ok.asia/book/16351151/2e314a</w:t>
      </w:r>
    </w:p>
    <w:p w:rsidR="002C1E42" w:rsidRPr="00C55B9C" w:rsidRDefault="002C1E42" w:rsidP="002C1E42">
      <w:pPr>
        <w:widowControl w:val="0"/>
        <w:autoSpaceDE w:val="0"/>
        <w:autoSpaceDN w:val="0"/>
        <w:adjustRightInd w:val="0"/>
        <w:spacing w:line="240" w:lineRule="auto"/>
        <w:ind w:left="480" w:hanging="480"/>
        <w:rPr>
          <w:rFonts w:ascii="Palatino Linotype" w:hAnsi="Palatino Linotype" w:cs="Times New Roman"/>
          <w:noProof/>
          <w:sz w:val="24"/>
          <w:szCs w:val="24"/>
        </w:rPr>
      </w:pPr>
      <w:r w:rsidRPr="00C55B9C">
        <w:rPr>
          <w:rFonts w:ascii="Palatino Linotype" w:hAnsi="Palatino Linotype" w:cs="Times New Roman"/>
          <w:noProof/>
          <w:sz w:val="24"/>
          <w:szCs w:val="24"/>
        </w:rPr>
        <w:t xml:space="preserve">Amalia, H. (2019). Muhammadiyah: Metode Dan Praktik Berijtihad. </w:t>
      </w:r>
      <w:r w:rsidRPr="00C55B9C">
        <w:rPr>
          <w:rFonts w:ascii="Palatino Linotype" w:hAnsi="Palatino Linotype" w:cs="Times New Roman"/>
          <w:i/>
          <w:iCs/>
          <w:noProof/>
          <w:sz w:val="24"/>
          <w:szCs w:val="24"/>
        </w:rPr>
        <w:t>Muaddib: Jurnal Studi Kependidikan Dan Keislaman</w:t>
      </w:r>
      <w:r w:rsidRPr="00C55B9C">
        <w:rPr>
          <w:rFonts w:ascii="Palatino Linotype" w:hAnsi="Palatino Linotype" w:cs="Times New Roman"/>
          <w:noProof/>
          <w:sz w:val="24"/>
          <w:szCs w:val="24"/>
        </w:rPr>
        <w:t xml:space="preserve">, </w:t>
      </w:r>
      <w:r w:rsidRPr="00C55B9C">
        <w:rPr>
          <w:rFonts w:ascii="Palatino Linotype" w:hAnsi="Palatino Linotype" w:cs="Times New Roman"/>
          <w:i/>
          <w:iCs/>
          <w:noProof/>
          <w:sz w:val="24"/>
          <w:szCs w:val="24"/>
        </w:rPr>
        <w:t>9</w:t>
      </w:r>
      <w:r w:rsidRPr="00C55B9C">
        <w:rPr>
          <w:rFonts w:ascii="Palatino Linotype" w:hAnsi="Palatino Linotype" w:cs="Times New Roman"/>
          <w:noProof/>
          <w:sz w:val="24"/>
          <w:szCs w:val="24"/>
        </w:rPr>
        <w:t>(2), 119–129. https://doi.org/10.24269/muaddib.v1i2.1535</w:t>
      </w:r>
    </w:p>
    <w:p w:rsidR="002C1E42" w:rsidRPr="00C55B9C" w:rsidRDefault="002C1E42" w:rsidP="002C1E42">
      <w:pPr>
        <w:widowControl w:val="0"/>
        <w:autoSpaceDE w:val="0"/>
        <w:autoSpaceDN w:val="0"/>
        <w:adjustRightInd w:val="0"/>
        <w:spacing w:line="240" w:lineRule="auto"/>
        <w:ind w:left="480" w:hanging="480"/>
        <w:rPr>
          <w:rFonts w:ascii="Palatino Linotype" w:hAnsi="Palatino Linotype" w:cs="Times New Roman"/>
          <w:noProof/>
          <w:sz w:val="24"/>
          <w:szCs w:val="24"/>
        </w:rPr>
      </w:pPr>
      <w:r w:rsidRPr="00C55B9C">
        <w:rPr>
          <w:rFonts w:ascii="Palatino Linotype" w:hAnsi="Palatino Linotype" w:cs="Times New Roman"/>
          <w:noProof/>
          <w:sz w:val="24"/>
          <w:szCs w:val="24"/>
        </w:rPr>
        <w:lastRenderedPageBreak/>
        <w:t xml:space="preserve">Armas, A. (2003). </w:t>
      </w:r>
      <w:r w:rsidRPr="00C55B9C">
        <w:rPr>
          <w:rFonts w:ascii="Palatino Linotype" w:hAnsi="Palatino Linotype" w:cs="Times New Roman"/>
          <w:i/>
          <w:iCs/>
          <w:noProof/>
          <w:sz w:val="24"/>
          <w:szCs w:val="24"/>
        </w:rPr>
        <w:t>Pengaruh Kristen-Orientalis Terhadap Islam Liberal (Quran Sunnah Hadith Hadits Hadis)</w:t>
      </w:r>
      <w:r w:rsidRPr="00C55B9C">
        <w:rPr>
          <w:rFonts w:ascii="Palatino Linotype" w:hAnsi="Palatino Linotype" w:cs="Times New Roman"/>
          <w:noProof/>
          <w:sz w:val="24"/>
          <w:szCs w:val="24"/>
        </w:rPr>
        <w:t xml:space="preserve"> (1st ed.). Retrieved from https://b-ok.asia/book/5264658/b599f1</w:t>
      </w:r>
    </w:p>
    <w:p w:rsidR="002C1E42" w:rsidRPr="00C55B9C" w:rsidRDefault="002C1E42" w:rsidP="002C1E42">
      <w:pPr>
        <w:widowControl w:val="0"/>
        <w:autoSpaceDE w:val="0"/>
        <w:autoSpaceDN w:val="0"/>
        <w:adjustRightInd w:val="0"/>
        <w:spacing w:line="240" w:lineRule="auto"/>
        <w:ind w:left="480" w:hanging="480"/>
        <w:rPr>
          <w:rFonts w:ascii="Palatino Linotype" w:hAnsi="Palatino Linotype" w:cs="Times New Roman"/>
          <w:noProof/>
          <w:sz w:val="24"/>
          <w:szCs w:val="24"/>
        </w:rPr>
      </w:pPr>
      <w:r w:rsidRPr="00C55B9C">
        <w:rPr>
          <w:rFonts w:ascii="Palatino Linotype" w:hAnsi="Palatino Linotype" w:cs="Times New Roman"/>
          <w:noProof/>
          <w:sz w:val="24"/>
          <w:szCs w:val="24"/>
        </w:rPr>
        <w:t xml:space="preserve">Asy’arie, M. (2014). Paradigma Integrasi Dan Interkoneksi Dalam Perspektif Filsafat Islam. In </w:t>
      </w:r>
      <w:r w:rsidRPr="00C55B9C">
        <w:rPr>
          <w:rFonts w:ascii="Palatino Linotype" w:hAnsi="Palatino Linotype" w:cs="Times New Roman"/>
          <w:i/>
          <w:iCs/>
          <w:noProof/>
          <w:sz w:val="24"/>
          <w:szCs w:val="24"/>
        </w:rPr>
        <w:t>Praksis Paradigma Integrasi-Interkoneksi dan Transformasi Islamic Studies di UIN Sunan Kalijaga</w:t>
      </w:r>
      <w:r w:rsidRPr="00C55B9C">
        <w:rPr>
          <w:rFonts w:ascii="Palatino Linotype" w:hAnsi="Palatino Linotype" w:cs="Times New Roman"/>
          <w:noProof/>
          <w:sz w:val="24"/>
          <w:szCs w:val="24"/>
        </w:rPr>
        <w:t xml:space="preserve"> (1st ed., pp. 57–62). Yogyakarta, Indonesia: Pascasarjana UIN Sunan Kalijaga Yogyakarta.</w:t>
      </w:r>
    </w:p>
    <w:p w:rsidR="002C1E42" w:rsidRPr="00C55B9C" w:rsidRDefault="002C1E42" w:rsidP="002C1E42">
      <w:pPr>
        <w:widowControl w:val="0"/>
        <w:autoSpaceDE w:val="0"/>
        <w:autoSpaceDN w:val="0"/>
        <w:adjustRightInd w:val="0"/>
        <w:spacing w:line="240" w:lineRule="auto"/>
        <w:ind w:left="480" w:hanging="480"/>
        <w:rPr>
          <w:rFonts w:ascii="Palatino Linotype" w:hAnsi="Palatino Linotype" w:cs="Times New Roman"/>
          <w:noProof/>
          <w:sz w:val="24"/>
          <w:szCs w:val="24"/>
        </w:rPr>
      </w:pPr>
      <w:r w:rsidRPr="00C55B9C">
        <w:rPr>
          <w:rFonts w:ascii="Palatino Linotype" w:hAnsi="Palatino Linotype" w:cs="Times New Roman"/>
          <w:noProof/>
          <w:sz w:val="24"/>
          <w:szCs w:val="24"/>
        </w:rPr>
        <w:t xml:space="preserve">Auda, J. (2007). </w:t>
      </w:r>
      <w:r w:rsidRPr="00C55B9C">
        <w:rPr>
          <w:rFonts w:ascii="Palatino Linotype" w:hAnsi="Palatino Linotype" w:cs="Times New Roman"/>
          <w:i/>
          <w:iCs/>
          <w:noProof/>
          <w:sz w:val="24"/>
          <w:szCs w:val="24"/>
        </w:rPr>
        <w:t>Maqasid al-Shariah as Philosophy of Islamic Law: A System Approach</w:t>
      </w:r>
      <w:r w:rsidRPr="00C55B9C">
        <w:rPr>
          <w:rFonts w:ascii="Palatino Linotype" w:hAnsi="Palatino Linotype" w:cs="Times New Roman"/>
          <w:noProof/>
          <w:sz w:val="24"/>
          <w:szCs w:val="24"/>
        </w:rPr>
        <w:t xml:space="preserve"> (1st ed.). London, England: The International Institute of Islamic Thought.</w:t>
      </w:r>
    </w:p>
    <w:p w:rsidR="002C1E42" w:rsidRPr="00C55B9C" w:rsidRDefault="002C1E42" w:rsidP="002C1E42">
      <w:pPr>
        <w:widowControl w:val="0"/>
        <w:autoSpaceDE w:val="0"/>
        <w:autoSpaceDN w:val="0"/>
        <w:adjustRightInd w:val="0"/>
        <w:spacing w:line="240" w:lineRule="auto"/>
        <w:ind w:left="480" w:hanging="480"/>
        <w:rPr>
          <w:rFonts w:ascii="Palatino Linotype" w:hAnsi="Palatino Linotype" w:cs="Times New Roman"/>
          <w:noProof/>
          <w:sz w:val="24"/>
          <w:szCs w:val="24"/>
        </w:rPr>
      </w:pPr>
      <w:r w:rsidRPr="00C55B9C">
        <w:rPr>
          <w:rFonts w:ascii="Palatino Linotype" w:hAnsi="Palatino Linotype" w:cs="Times New Roman"/>
          <w:noProof/>
          <w:sz w:val="24"/>
          <w:szCs w:val="24"/>
        </w:rPr>
        <w:t xml:space="preserve">Auda, J. (2015). </w:t>
      </w:r>
      <w:r w:rsidRPr="00C55B9C">
        <w:rPr>
          <w:rFonts w:ascii="Palatino Linotype" w:hAnsi="Palatino Linotype" w:cs="Times New Roman"/>
          <w:i/>
          <w:iCs/>
          <w:noProof/>
          <w:sz w:val="24"/>
          <w:szCs w:val="24"/>
        </w:rPr>
        <w:t>Membumikan Hukum Islam Melalui Maqasid Syariah: Pendekatan Sistem</w:t>
      </w:r>
      <w:r w:rsidRPr="00C55B9C">
        <w:rPr>
          <w:rFonts w:ascii="Palatino Linotype" w:hAnsi="Palatino Linotype" w:cs="Times New Roman"/>
          <w:noProof/>
          <w:sz w:val="24"/>
          <w:szCs w:val="24"/>
        </w:rPr>
        <w:t xml:space="preserve"> (1st ed.; Rosidin, A. A. El-Mun’im, &amp; A. Baiquni, Eds.). Bandung, Indonesia: PT Mizan Pustaka.</w:t>
      </w:r>
    </w:p>
    <w:p w:rsidR="002C1E42" w:rsidRPr="00C55B9C" w:rsidRDefault="002C1E42" w:rsidP="002C1E42">
      <w:pPr>
        <w:widowControl w:val="0"/>
        <w:autoSpaceDE w:val="0"/>
        <w:autoSpaceDN w:val="0"/>
        <w:adjustRightInd w:val="0"/>
        <w:spacing w:line="240" w:lineRule="auto"/>
        <w:ind w:left="480" w:hanging="480"/>
        <w:rPr>
          <w:rFonts w:ascii="Palatino Linotype" w:hAnsi="Palatino Linotype" w:cs="Times New Roman"/>
          <w:noProof/>
          <w:sz w:val="24"/>
          <w:szCs w:val="24"/>
        </w:rPr>
      </w:pPr>
      <w:r w:rsidRPr="00C55B9C">
        <w:rPr>
          <w:rFonts w:ascii="Palatino Linotype" w:hAnsi="Palatino Linotype" w:cs="Times New Roman"/>
          <w:noProof/>
          <w:sz w:val="24"/>
          <w:szCs w:val="24"/>
        </w:rPr>
        <w:t>Badan Pembinaan dan Pengembangan Bahasa Indonesia. (2016). Fatwa. Retrieved September 4, 2021, from Kamus Besar Bahasa Indonesia website: https://kbbi.kemdikbud.go.id/entri/Fatwa</w:t>
      </w:r>
    </w:p>
    <w:p w:rsidR="002C1E42" w:rsidRPr="00C55B9C" w:rsidRDefault="002C1E42" w:rsidP="002C1E42">
      <w:pPr>
        <w:widowControl w:val="0"/>
        <w:autoSpaceDE w:val="0"/>
        <w:autoSpaceDN w:val="0"/>
        <w:adjustRightInd w:val="0"/>
        <w:spacing w:line="240" w:lineRule="auto"/>
        <w:ind w:left="480" w:hanging="480"/>
        <w:rPr>
          <w:rFonts w:ascii="Palatino Linotype" w:hAnsi="Palatino Linotype" w:cs="Times New Roman"/>
          <w:noProof/>
          <w:sz w:val="24"/>
          <w:szCs w:val="24"/>
        </w:rPr>
      </w:pPr>
      <w:r w:rsidRPr="00C55B9C">
        <w:rPr>
          <w:rFonts w:ascii="Palatino Linotype" w:hAnsi="Palatino Linotype" w:cs="Times New Roman"/>
          <w:noProof/>
          <w:sz w:val="24"/>
          <w:szCs w:val="24"/>
        </w:rPr>
        <w:t xml:space="preserve">Bar, S. (2008). </w:t>
      </w:r>
      <w:r w:rsidRPr="00C55B9C">
        <w:rPr>
          <w:rFonts w:ascii="Palatino Linotype" w:hAnsi="Palatino Linotype" w:cs="Times New Roman"/>
          <w:i/>
          <w:iCs/>
          <w:noProof/>
          <w:sz w:val="24"/>
          <w:szCs w:val="24"/>
        </w:rPr>
        <w:t>Warrant for Terror: The Fatwas of Radical Islam and the Duty to Jihad</w:t>
      </w:r>
      <w:r w:rsidRPr="00C55B9C">
        <w:rPr>
          <w:rFonts w:ascii="Palatino Linotype" w:hAnsi="Palatino Linotype" w:cs="Times New Roman"/>
          <w:noProof/>
          <w:sz w:val="24"/>
          <w:szCs w:val="24"/>
        </w:rPr>
        <w:t xml:space="preserve"> (1st ed.). Retrieved from https://b-ok.asia/book/16779375/5d62ab</w:t>
      </w:r>
    </w:p>
    <w:p w:rsidR="002C1E42" w:rsidRPr="00C55B9C" w:rsidRDefault="002C1E42" w:rsidP="002C1E42">
      <w:pPr>
        <w:widowControl w:val="0"/>
        <w:autoSpaceDE w:val="0"/>
        <w:autoSpaceDN w:val="0"/>
        <w:adjustRightInd w:val="0"/>
        <w:spacing w:line="240" w:lineRule="auto"/>
        <w:ind w:left="480" w:hanging="480"/>
        <w:rPr>
          <w:rFonts w:ascii="Palatino Linotype" w:hAnsi="Palatino Linotype" w:cs="Times New Roman"/>
          <w:noProof/>
          <w:sz w:val="24"/>
          <w:szCs w:val="24"/>
        </w:rPr>
      </w:pPr>
      <w:r w:rsidRPr="00C55B9C">
        <w:rPr>
          <w:rFonts w:ascii="Palatino Linotype" w:hAnsi="Palatino Linotype" w:cs="Times New Roman"/>
          <w:noProof/>
          <w:sz w:val="24"/>
          <w:szCs w:val="24"/>
        </w:rPr>
        <w:t xml:space="preserve">Bennoune, K. (2013). </w:t>
      </w:r>
      <w:r w:rsidRPr="00C55B9C">
        <w:rPr>
          <w:rFonts w:ascii="Palatino Linotype" w:hAnsi="Palatino Linotype" w:cs="Times New Roman"/>
          <w:i/>
          <w:iCs/>
          <w:noProof/>
          <w:sz w:val="24"/>
          <w:szCs w:val="24"/>
        </w:rPr>
        <w:t>Your Fatwa Does Not Apply Here: Untold Stories from the Fight Against Muslim Fundamentalism</w:t>
      </w:r>
      <w:r w:rsidRPr="00C55B9C">
        <w:rPr>
          <w:rFonts w:ascii="Palatino Linotype" w:hAnsi="Palatino Linotype" w:cs="Times New Roman"/>
          <w:noProof/>
          <w:sz w:val="24"/>
          <w:szCs w:val="24"/>
        </w:rPr>
        <w:t xml:space="preserve"> (1st ed.). Retrieved from https://b-ok.asia/book/2608940/77a02b</w:t>
      </w:r>
    </w:p>
    <w:p w:rsidR="002C1E42" w:rsidRPr="00C55B9C" w:rsidRDefault="002C1E42" w:rsidP="002C1E42">
      <w:pPr>
        <w:widowControl w:val="0"/>
        <w:autoSpaceDE w:val="0"/>
        <w:autoSpaceDN w:val="0"/>
        <w:adjustRightInd w:val="0"/>
        <w:spacing w:line="240" w:lineRule="auto"/>
        <w:ind w:left="480" w:hanging="480"/>
        <w:rPr>
          <w:rFonts w:ascii="Palatino Linotype" w:hAnsi="Palatino Linotype" w:cs="Times New Roman"/>
          <w:noProof/>
          <w:sz w:val="24"/>
          <w:szCs w:val="24"/>
        </w:rPr>
      </w:pPr>
      <w:r w:rsidRPr="00C55B9C">
        <w:rPr>
          <w:rFonts w:ascii="Palatino Linotype" w:hAnsi="Palatino Linotype" w:cs="Times New Roman"/>
          <w:noProof/>
          <w:sz w:val="24"/>
          <w:szCs w:val="24"/>
        </w:rPr>
        <w:t xml:space="preserve">Bunt, G. R. (2003). </w:t>
      </w:r>
      <w:r w:rsidRPr="00C55B9C">
        <w:rPr>
          <w:rFonts w:ascii="Palatino Linotype" w:hAnsi="Palatino Linotype" w:cs="Times New Roman"/>
          <w:i/>
          <w:iCs/>
          <w:noProof/>
          <w:sz w:val="24"/>
          <w:szCs w:val="24"/>
        </w:rPr>
        <w:t>Islam in the Digital Age: E-Jihad, Online Fatwas and Cyber Islamic Environments</w:t>
      </w:r>
      <w:r w:rsidRPr="00C55B9C">
        <w:rPr>
          <w:rFonts w:ascii="Palatino Linotype" w:hAnsi="Palatino Linotype" w:cs="Times New Roman"/>
          <w:noProof/>
          <w:sz w:val="24"/>
          <w:szCs w:val="24"/>
        </w:rPr>
        <w:t xml:space="preserve"> (1st ed.). Retrieved from https://b-ok.asia/book/810994/7ff82b</w:t>
      </w:r>
    </w:p>
    <w:p w:rsidR="002C1E42" w:rsidRPr="00C55B9C" w:rsidRDefault="002C1E42" w:rsidP="002C1E42">
      <w:pPr>
        <w:widowControl w:val="0"/>
        <w:autoSpaceDE w:val="0"/>
        <w:autoSpaceDN w:val="0"/>
        <w:adjustRightInd w:val="0"/>
        <w:spacing w:line="240" w:lineRule="auto"/>
        <w:ind w:left="480" w:hanging="480"/>
        <w:rPr>
          <w:rFonts w:ascii="Palatino Linotype" w:hAnsi="Palatino Linotype" w:cs="Times New Roman"/>
          <w:noProof/>
          <w:sz w:val="24"/>
          <w:szCs w:val="24"/>
        </w:rPr>
      </w:pPr>
      <w:r w:rsidRPr="00C55B9C">
        <w:rPr>
          <w:rFonts w:ascii="Palatino Linotype" w:hAnsi="Palatino Linotype" w:cs="Times New Roman"/>
          <w:noProof/>
          <w:sz w:val="24"/>
          <w:szCs w:val="24"/>
        </w:rPr>
        <w:t xml:space="preserve">Effendi, A. S. (2011). </w:t>
      </w:r>
      <w:r w:rsidRPr="00C55B9C">
        <w:rPr>
          <w:rFonts w:ascii="Palatino Linotype" w:hAnsi="Palatino Linotype" w:cs="Times New Roman"/>
          <w:i/>
          <w:iCs/>
          <w:noProof/>
          <w:sz w:val="24"/>
          <w:szCs w:val="24"/>
        </w:rPr>
        <w:t>Pengaruh Fatwa Majelis Ulama Indonesia terhadap Proses Pengambilan Kebijakan Pemerintah Indonesia</w:t>
      </w:r>
      <w:r w:rsidRPr="00C55B9C">
        <w:rPr>
          <w:rFonts w:ascii="Palatino Linotype" w:hAnsi="Palatino Linotype" w:cs="Times New Roman"/>
          <w:noProof/>
          <w:sz w:val="24"/>
          <w:szCs w:val="24"/>
        </w:rPr>
        <w:t xml:space="preserve"> (UIN Syarif Hidayatullah Jakarta). Retrieved from https://repository.uinjkt.ac.id/dspace/bitstream/123456789/4116/1/ANDI SHOFIAN EFENDI-FSH.pdf</w:t>
      </w:r>
    </w:p>
    <w:p w:rsidR="002C1E42" w:rsidRPr="00C55B9C" w:rsidRDefault="002C1E42" w:rsidP="002C1E42">
      <w:pPr>
        <w:widowControl w:val="0"/>
        <w:autoSpaceDE w:val="0"/>
        <w:autoSpaceDN w:val="0"/>
        <w:adjustRightInd w:val="0"/>
        <w:spacing w:line="240" w:lineRule="auto"/>
        <w:ind w:left="480" w:hanging="480"/>
        <w:rPr>
          <w:rFonts w:ascii="Palatino Linotype" w:hAnsi="Palatino Linotype" w:cs="Times New Roman"/>
          <w:noProof/>
          <w:sz w:val="24"/>
          <w:szCs w:val="24"/>
        </w:rPr>
      </w:pPr>
      <w:r w:rsidRPr="00C55B9C">
        <w:rPr>
          <w:rFonts w:ascii="Palatino Linotype" w:hAnsi="Palatino Linotype" w:cs="Times New Roman"/>
          <w:noProof/>
          <w:sz w:val="24"/>
          <w:szCs w:val="24"/>
        </w:rPr>
        <w:t xml:space="preserve">El-Fadl, K. M. A. (2014). </w:t>
      </w:r>
      <w:r w:rsidRPr="00C55B9C">
        <w:rPr>
          <w:rFonts w:ascii="Palatino Linotype" w:hAnsi="Palatino Linotype" w:cs="Times New Roman"/>
          <w:i/>
          <w:iCs/>
          <w:noProof/>
          <w:sz w:val="24"/>
          <w:szCs w:val="24"/>
        </w:rPr>
        <w:t>Speaking in God’s Name: Islamic Law, Authority, and Women</w:t>
      </w:r>
      <w:r w:rsidRPr="00C55B9C">
        <w:rPr>
          <w:rFonts w:ascii="Palatino Linotype" w:hAnsi="Palatino Linotype" w:cs="Times New Roman"/>
          <w:noProof/>
          <w:sz w:val="24"/>
          <w:szCs w:val="24"/>
        </w:rPr>
        <w:t>. Retrieved from https://id1lib.org/book/2658136/e1bb49</w:t>
      </w:r>
    </w:p>
    <w:p w:rsidR="002C1E42" w:rsidRPr="00C55B9C" w:rsidRDefault="002C1E42" w:rsidP="002C1E42">
      <w:pPr>
        <w:widowControl w:val="0"/>
        <w:autoSpaceDE w:val="0"/>
        <w:autoSpaceDN w:val="0"/>
        <w:adjustRightInd w:val="0"/>
        <w:spacing w:line="240" w:lineRule="auto"/>
        <w:ind w:left="480" w:hanging="480"/>
        <w:rPr>
          <w:rFonts w:ascii="Palatino Linotype" w:hAnsi="Palatino Linotype" w:cs="Times New Roman"/>
          <w:noProof/>
          <w:sz w:val="24"/>
          <w:szCs w:val="24"/>
        </w:rPr>
      </w:pPr>
      <w:r w:rsidRPr="00C55B9C">
        <w:rPr>
          <w:rFonts w:ascii="Palatino Linotype" w:hAnsi="Palatino Linotype" w:cs="Times New Roman"/>
          <w:noProof/>
          <w:sz w:val="24"/>
          <w:szCs w:val="24"/>
        </w:rPr>
        <w:t xml:space="preserve">Fitri, A. Z. (2020). </w:t>
      </w:r>
      <w:r w:rsidRPr="00C55B9C">
        <w:rPr>
          <w:rFonts w:ascii="Palatino Linotype" w:hAnsi="Palatino Linotype" w:cs="Times New Roman"/>
          <w:i/>
          <w:iCs/>
          <w:noProof/>
          <w:sz w:val="24"/>
          <w:szCs w:val="24"/>
        </w:rPr>
        <w:t>Integrasi Pengembangan Keilmuan di Perguruan Tinggi Keagamaan Islam</w:t>
      </w:r>
      <w:r w:rsidRPr="00C55B9C">
        <w:rPr>
          <w:rFonts w:ascii="Palatino Linotype" w:hAnsi="Palatino Linotype" w:cs="Times New Roman"/>
          <w:noProof/>
          <w:sz w:val="24"/>
          <w:szCs w:val="24"/>
        </w:rPr>
        <w:t xml:space="preserve"> (1st ed.). Tulungagung, Jawa Timur: IAIN Tulungagung Press.</w:t>
      </w:r>
    </w:p>
    <w:p w:rsidR="002C1E42" w:rsidRPr="00C55B9C" w:rsidRDefault="002C1E42" w:rsidP="002C1E42">
      <w:pPr>
        <w:widowControl w:val="0"/>
        <w:autoSpaceDE w:val="0"/>
        <w:autoSpaceDN w:val="0"/>
        <w:adjustRightInd w:val="0"/>
        <w:spacing w:line="240" w:lineRule="auto"/>
        <w:ind w:left="480" w:hanging="480"/>
        <w:rPr>
          <w:rFonts w:ascii="Palatino Linotype" w:hAnsi="Palatino Linotype" w:cs="Times New Roman"/>
          <w:noProof/>
          <w:sz w:val="24"/>
          <w:szCs w:val="24"/>
        </w:rPr>
      </w:pPr>
      <w:r w:rsidRPr="00C55B9C">
        <w:rPr>
          <w:rFonts w:ascii="Palatino Linotype" w:hAnsi="Palatino Linotype" w:cs="Times New Roman"/>
          <w:noProof/>
          <w:sz w:val="24"/>
          <w:szCs w:val="24"/>
        </w:rPr>
        <w:t xml:space="preserve">Geller, P. (2017). </w:t>
      </w:r>
      <w:r w:rsidRPr="00C55B9C">
        <w:rPr>
          <w:rFonts w:ascii="Palatino Linotype" w:hAnsi="Palatino Linotype" w:cs="Times New Roman"/>
          <w:i/>
          <w:iCs/>
          <w:noProof/>
          <w:sz w:val="24"/>
          <w:szCs w:val="24"/>
        </w:rPr>
        <w:t>FATWA: Hunted in America</w:t>
      </w:r>
      <w:r w:rsidRPr="00C55B9C">
        <w:rPr>
          <w:rFonts w:ascii="Palatino Linotype" w:hAnsi="Palatino Linotype" w:cs="Times New Roman"/>
          <w:noProof/>
          <w:sz w:val="24"/>
          <w:szCs w:val="24"/>
        </w:rPr>
        <w:t xml:space="preserve"> (1st ed.). Retrieved from https://b-ok.asia/book/3405459/e75bd9</w:t>
      </w:r>
    </w:p>
    <w:p w:rsidR="002C1E42" w:rsidRPr="00C55B9C" w:rsidRDefault="002C1E42" w:rsidP="002C1E42">
      <w:pPr>
        <w:widowControl w:val="0"/>
        <w:autoSpaceDE w:val="0"/>
        <w:autoSpaceDN w:val="0"/>
        <w:adjustRightInd w:val="0"/>
        <w:spacing w:line="240" w:lineRule="auto"/>
        <w:ind w:left="480" w:hanging="480"/>
        <w:rPr>
          <w:rFonts w:ascii="Palatino Linotype" w:hAnsi="Palatino Linotype" w:cs="Times New Roman"/>
          <w:noProof/>
          <w:sz w:val="24"/>
          <w:szCs w:val="24"/>
        </w:rPr>
      </w:pPr>
      <w:r w:rsidRPr="00C55B9C">
        <w:rPr>
          <w:rFonts w:ascii="Palatino Linotype" w:hAnsi="Palatino Linotype" w:cs="Times New Roman"/>
          <w:noProof/>
          <w:sz w:val="24"/>
          <w:szCs w:val="24"/>
        </w:rPr>
        <w:t xml:space="preserve">Halimatusa’diah. (2017). Dari Prasangka Hingga Diskriminasi: Menyoal Stigma </w:t>
      </w:r>
      <w:r w:rsidRPr="00C55B9C">
        <w:rPr>
          <w:rFonts w:ascii="Palatino Linotype" w:hAnsi="Palatino Linotype" w:cs="Times New Roman"/>
          <w:noProof/>
          <w:sz w:val="24"/>
          <w:szCs w:val="24"/>
        </w:rPr>
        <w:lastRenderedPageBreak/>
        <w:t xml:space="preserve">Sesat Dan Kekerasan Terhadap Ahmadiyah Dalam Perspektif Komunikasi. </w:t>
      </w:r>
      <w:r w:rsidRPr="00C55B9C">
        <w:rPr>
          <w:rFonts w:ascii="Palatino Linotype" w:hAnsi="Palatino Linotype" w:cs="Times New Roman"/>
          <w:i/>
          <w:iCs/>
          <w:noProof/>
          <w:sz w:val="24"/>
          <w:szCs w:val="24"/>
        </w:rPr>
        <w:t>Jurnal Avant Garde</w:t>
      </w:r>
      <w:r w:rsidRPr="00C55B9C">
        <w:rPr>
          <w:rFonts w:ascii="Palatino Linotype" w:hAnsi="Palatino Linotype" w:cs="Times New Roman"/>
          <w:noProof/>
          <w:sz w:val="24"/>
          <w:szCs w:val="24"/>
        </w:rPr>
        <w:t xml:space="preserve">, </w:t>
      </w:r>
      <w:r w:rsidRPr="00C55B9C">
        <w:rPr>
          <w:rFonts w:ascii="Palatino Linotype" w:hAnsi="Palatino Linotype" w:cs="Times New Roman"/>
          <w:i/>
          <w:iCs/>
          <w:noProof/>
          <w:sz w:val="24"/>
          <w:szCs w:val="24"/>
        </w:rPr>
        <w:t>5</w:t>
      </w:r>
      <w:r w:rsidRPr="00C55B9C">
        <w:rPr>
          <w:rFonts w:ascii="Palatino Linotype" w:hAnsi="Palatino Linotype" w:cs="Times New Roman"/>
          <w:noProof/>
          <w:sz w:val="24"/>
          <w:szCs w:val="24"/>
        </w:rPr>
        <w:t>(1), 1–20. Retrieved from https://journal.budiluhur.ac.id/index.php/avantgarde/article/download/611/517.</w:t>
      </w:r>
    </w:p>
    <w:p w:rsidR="002C1E42" w:rsidRPr="00C55B9C" w:rsidRDefault="002C1E42" w:rsidP="002C1E42">
      <w:pPr>
        <w:widowControl w:val="0"/>
        <w:autoSpaceDE w:val="0"/>
        <w:autoSpaceDN w:val="0"/>
        <w:adjustRightInd w:val="0"/>
        <w:spacing w:line="240" w:lineRule="auto"/>
        <w:ind w:left="480" w:hanging="480"/>
        <w:rPr>
          <w:rFonts w:ascii="Palatino Linotype" w:hAnsi="Palatino Linotype" w:cs="Times New Roman"/>
          <w:noProof/>
          <w:sz w:val="24"/>
          <w:szCs w:val="24"/>
        </w:rPr>
      </w:pPr>
      <w:r w:rsidRPr="00C55B9C">
        <w:rPr>
          <w:rFonts w:ascii="Palatino Linotype" w:hAnsi="Palatino Linotype" w:cs="Times New Roman"/>
          <w:noProof/>
          <w:sz w:val="24"/>
          <w:szCs w:val="24"/>
        </w:rPr>
        <w:t xml:space="preserve">Hamad, I. (2007). Lebih Dekat dengan Analisis Wacana. </w:t>
      </w:r>
      <w:r w:rsidRPr="00C55B9C">
        <w:rPr>
          <w:rFonts w:ascii="Palatino Linotype" w:hAnsi="Palatino Linotype" w:cs="Times New Roman"/>
          <w:i/>
          <w:iCs/>
          <w:noProof/>
          <w:sz w:val="24"/>
          <w:szCs w:val="24"/>
        </w:rPr>
        <w:t>Mediator</w:t>
      </w:r>
      <w:r w:rsidRPr="00C55B9C">
        <w:rPr>
          <w:rFonts w:ascii="Palatino Linotype" w:hAnsi="Palatino Linotype" w:cs="Times New Roman"/>
          <w:noProof/>
          <w:sz w:val="24"/>
          <w:szCs w:val="24"/>
        </w:rPr>
        <w:t xml:space="preserve">, </w:t>
      </w:r>
      <w:r w:rsidRPr="00C55B9C">
        <w:rPr>
          <w:rFonts w:ascii="Palatino Linotype" w:hAnsi="Palatino Linotype" w:cs="Times New Roman"/>
          <w:i/>
          <w:iCs/>
          <w:noProof/>
          <w:sz w:val="24"/>
          <w:szCs w:val="24"/>
        </w:rPr>
        <w:t>8</w:t>
      </w:r>
      <w:r w:rsidRPr="00C55B9C">
        <w:rPr>
          <w:rFonts w:ascii="Palatino Linotype" w:hAnsi="Palatino Linotype" w:cs="Times New Roman"/>
          <w:noProof/>
          <w:sz w:val="24"/>
          <w:szCs w:val="24"/>
        </w:rPr>
        <w:t>(2), 325–344. https://doi.org/https://doi.org/10.29313/mediator.v8i2.1252</w:t>
      </w:r>
    </w:p>
    <w:p w:rsidR="002C1E42" w:rsidRPr="00C55B9C" w:rsidRDefault="002C1E42" w:rsidP="002C1E42">
      <w:pPr>
        <w:widowControl w:val="0"/>
        <w:autoSpaceDE w:val="0"/>
        <w:autoSpaceDN w:val="0"/>
        <w:adjustRightInd w:val="0"/>
        <w:spacing w:line="240" w:lineRule="auto"/>
        <w:ind w:left="480" w:hanging="480"/>
        <w:rPr>
          <w:rFonts w:ascii="Palatino Linotype" w:hAnsi="Palatino Linotype" w:cs="Times New Roman"/>
          <w:noProof/>
          <w:sz w:val="24"/>
          <w:szCs w:val="24"/>
        </w:rPr>
      </w:pPr>
      <w:r w:rsidRPr="00C55B9C">
        <w:rPr>
          <w:rFonts w:ascii="Palatino Linotype" w:hAnsi="Palatino Linotype" w:cs="Times New Roman"/>
          <w:noProof/>
          <w:sz w:val="24"/>
          <w:szCs w:val="24"/>
        </w:rPr>
        <w:t xml:space="preserve">Hamzah, M. M. (2017). Peran dan Pengaruh Fatwa MUI dalam Arus Transformasi Sosial Budaya di Indonesia. </w:t>
      </w:r>
      <w:r w:rsidRPr="00C55B9C">
        <w:rPr>
          <w:rFonts w:ascii="Palatino Linotype" w:hAnsi="Palatino Linotype" w:cs="Times New Roman"/>
          <w:i/>
          <w:iCs/>
          <w:noProof/>
          <w:sz w:val="24"/>
          <w:szCs w:val="24"/>
        </w:rPr>
        <w:t>Millah: Jurnal Studi Agama</w:t>
      </w:r>
      <w:r w:rsidRPr="00C55B9C">
        <w:rPr>
          <w:rFonts w:ascii="Palatino Linotype" w:hAnsi="Palatino Linotype" w:cs="Times New Roman"/>
          <w:noProof/>
          <w:sz w:val="24"/>
          <w:szCs w:val="24"/>
        </w:rPr>
        <w:t xml:space="preserve">, </w:t>
      </w:r>
      <w:r w:rsidRPr="00C55B9C">
        <w:rPr>
          <w:rFonts w:ascii="Palatino Linotype" w:hAnsi="Palatino Linotype" w:cs="Times New Roman"/>
          <w:i/>
          <w:iCs/>
          <w:noProof/>
          <w:sz w:val="24"/>
          <w:szCs w:val="24"/>
        </w:rPr>
        <w:t>17</w:t>
      </w:r>
      <w:r w:rsidRPr="00C55B9C">
        <w:rPr>
          <w:rFonts w:ascii="Palatino Linotype" w:hAnsi="Palatino Linotype" w:cs="Times New Roman"/>
          <w:noProof/>
          <w:sz w:val="24"/>
          <w:szCs w:val="24"/>
        </w:rPr>
        <w:t>(1), 127–154. Retrieved from https://journal.uii.ac.id/ Millah/article /viewFile /10055/8051</w:t>
      </w:r>
    </w:p>
    <w:p w:rsidR="002C1E42" w:rsidRPr="00C55B9C" w:rsidRDefault="002C1E42" w:rsidP="002C1E42">
      <w:pPr>
        <w:widowControl w:val="0"/>
        <w:autoSpaceDE w:val="0"/>
        <w:autoSpaceDN w:val="0"/>
        <w:adjustRightInd w:val="0"/>
        <w:spacing w:line="240" w:lineRule="auto"/>
        <w:ind w:left="480" w:hanging="480"/>
        <w:rPr>
          <w:rFonts w:ascii="Palatino Linotype" w:hAnsi="Palatino Linotype" w:cs="Times New Roman"/>
          <w:noProof/>
          <w:sz w:val="24"/>
          <w:szCs w:val="24"/>
        </w:rPr>
      </w:pPr>
      <w:r w:rsidRPr="00C55B9C">
        <w:rPr>
          <w:rFonts w:ascii="Palatino Linotype" w:hAnsi="Palatino Linotype" w:cs="Times New Roman"/>
          <w:noProof/>
          <w:sz w:val="24"/>
          <w:szCs w:val="24"/>
        </w:rPr>
        <w:t xml:space="preserve">Hasyim, S. (2015). Fatwa Aliran Sesat Dan Politik Hukum Majelis Ulama Indonesia (MUI). </w:t>
      </w:r>
      <w:r w:rsidRPr="00C55B9C">
        <w:rPr>
          <w:rFonts w:ascii="Palatino Linotype" w:hAnsi="Palatino Linotype" w:cs="Times New Roman"/>
          <w:i/>
          <w:iCs/>
          <w:noProof/>
          <w:sz w:val="24"/>
          <w:szCs w:val="24"/>
        </w:rPr>
        <w:t>AL-AHKAM</w:t>
      </w:r>
      <w:r w:rsidRPr="00C55B9C">
        <w:rPr>
          <w:rFonts w:ascii="Palatino Linotype" w:hAnsi="Palatino Linotype" w:cs="Times New Roman"/>
          <w:noProof/>
          <w:sz w:val="24"/>
          <w:szCs w:val="24"/>
        </w:rPr>
        <w:t xml:space="preserve">, </w:t>
      </w:r>
      <w:r w:rsidRPr="00C55B9C">
        <w:rPr>
          <w:rFonts w:ascii="Palatino Linotype" w:hAnsi="Palatino Linotype" w:cs="Times New Roman"/>
          <w:i/>
          <w:iCs/>
          <w:noProof/>
          <w:sz w:val="24"/>
          <w:szCs w:val="24"/>
        </w:rPr>
        <w:t>25</w:t>
      </w:r>
      <w:r w:rsidRPr="00C55B9C">
        <w:rPr>
          <w:rFonts w:ascii="Palatino Linotype" w:hAnsi="Palatino Linotype" w:cs="Times New Roman"/>
          <w:noProof/>
          <w:sz w:val="24"/>
          <w:szCs w:val="24"/>
        </w:rPr>
        <w:t>(2), 241–266.</w:t>
      </w:r>
    </w:p>
    <w:p w:rsidR="002C1E42" w:rsidRPr="00C55B9C" w:rsidRDefault="002C1E42" w:rsidP="002C1E42">
      <w:pPr>
        <w:widowControl w:val="0"/>
        <w:autoSpaceDE w:val="0"/>
        <w:autoSpaceDN w:val="0"/>
        <w:adjustRightInd w:val="0"/>
        <w:spacing w:line="240" w:lineRule="auto"/>
        <w:ind w:left="480" w:hanging="480"/>
        <w:rPr>
          <w:rFonts w:ascii="Palatino Linotype" w:hAnsi="Palatino Linotype" w:cs="Times New Roman"/>
          <w:noProof/>
          <w:sz w:val="24"/>
          <w:szCs w:val="24"/>
        </w:rPr>
      </w:pPr>
      <w:r w:rsidRPr="00C55B9C">
        <w:rPr>
          <w:rFonts w:ascii="Palatino Linotype" w:hAnsi="Palatino Linotype" w:cs="Times New Roman"/>
          <w:noProof/>
          <w:sz w:val="24"/>
          <w:szCs w:val="24"/>
        </w:rPr>
        <w:t xml:space="preserve">Husaini, A., &amp; Hidayat, N. (2002). </w:t>
      </w:r>
      <w:r w:rsidRPr="00C55B9C">
        <w:rPr>
          <w:rFonts w:ascii="Palatino Linotype" w:hAnsi="Palatino Linotype" w:cs="Times New Roman"/>
          <w:i/>
          <w:iCs/>
          <w:noProof/>
          <w:sz w:val="24"/>
          <w:szCs w:val="24"/>
        </w:rPr>
        <w:t>Islam Liberal (Sejarah Konsepsi Penyimpangan Dan Jawabannya)</w:t>
      </w:r>
      <w:r w:rsidRPr="00C55B9C">
        <w:rPr>
          <w:rFonts w:ascii="Palatino Linotype" w:hAnsi="Palatino Linotype" w:cs="Times New Roman"/>
          <w:noProof/>
          <w:sz w:val="24"/>
          <w:szCs w:val="24"/>
        </w:rPr>
        <w:t xml:space="preserve"> (1st ed.; H. Kurniawan &amp; D. Irfan, Eds.). Retrieved from https://b-ok.asia/book/5261729/93c602</w:t>
      </w:r>
    </w:p>
    <w:p w:rsidR="002C1E42" w:rsidRPr="00C55B9C" w:rsidRDefault="002C1E42" w:rsidP="002C1E42">
      <w:pPr>
        <w:widowControl w:val="0"/>
        <w:autoSpaceDE w:val="0"/>
        <w:autoSpaceDN w:val="0"/>
        <w:adjustRightInd w:val="0"/>
        <w:spacing w:line="240" w:lineRule="auto"/>
        <w:ind w:left="480" w:hanging="480"/>
        <w:rPr>
          <w:rFonts w:ascii="Palatino Linotype" w:hAnsi="Palatino Linotype" w:cs="Times New Roman"/>
          <w:noProof/>
          <w:sz w:val="24"/>
          <w:szCs w:val="24"/>
        </w:rPr>
      </w:pPr>
      <w:r w:rsidRPr="00C55B9C">
        <w:rPr>
          <w:rFonts w:ascii="Palatino Linotype" w:hAnsi="Palatino Linotype" w:cs="Times New Roman"/>
          <w:noProof/>
          <w:sz w:val="24"/>
          <w:szCs w:val="24"/>
        </w:rPr>
        <w:t xml:space="preserve">Ilyas, H. (2014). Pengembangan Integrasi-Interkoneksi Dalam Ilmu-Ilmu Agama Islam: Al-Qur’an Kitab Rahmat Paradigma Tafsir Otentik. In </w:t>
      </w:r>
      <w:r w:rsidRPr="00C55B9C">
        <w:rPr>
          <w:rFonts w:ascii="Palatino Linotype" w:hAnsi="Palatino Linotype" w:cs="Times New Roman"/>
          <w:i/>
          <w:iCs/>
          <w:noProof/>
          <w:sz w:val="24"/>
          <w:szCs w:val="24"/>
        </w:rPr>
        <w:t>Praksis Paradigma Integrasi-Interkoneksi dan Transformasi Islamic Studies di UIN Sunan Kalijaga</w:t>
      </w:r>
      <w:r w:rsidRPr="00C55B9C">
        <w:rPr>
          <w:rFonts w:ascii="Palatino Linotype" w:hAnsi="Palatino Linotype" w:cs="Times New Roman"/>
          <w:noProof/>
          <w:sz w:val="24"/>
          <w:szCs w:val="24"/>
        </w:rPr>
        <w:t xml:space="preserve"> (1st ed., pp. 79–105). Yogyakarta, Indonesia: Pascasarjana UIN Sunan Kalijaga Yogyakarta.</w:t>
      </w:r>
    </w:p>
    <w:p w:rsidR="002C1E42" w:rsidRPr="00C55B9C" w:rsidRDefault="002C1E42" w:rsidP="002C1E42">
      <w:pPr>
        <w:widowControl w:val="0"/>
        <w:autoSpaceDE w:val="0"/>
        <w:autoSpaceDN w:val="0"/>
        <w:adjustRightInd w:val="0"/>
        <w:spacing w:line="240" w:lineRule="auto"/>
        <w:ind w:left="480" w:hanging="480"/>
        <w:rPr>
          <w:rFonts w:ascii="Palatino Linotype" w:hAnsi="Palatino Linotype" w:cs="Times New Roman"/>
          <w:noProof/>
          <w:sz w:val="24"/>
          <w:szCs w:val="24"/>
        </w:rPr>
      </w:pPr>
      <w:r w:rsidRPr="00C55B9C">
        <w:rPr>
          <w:rFonts w:ascii="Palatino Linotype" w:hAnsi="Palatino Linotype" w:cs="Times New Roman"/>
          <w:noProof/>
          <w:sz w:val="24"/>
          <w:szCs w:val="24"/>
        </w:rPr>
        <w:t xml:space="preserve">Ma’mun, S. (2011). Ilhaq dalam Bahtsul Masa’il NU: Antara Ijtihad Dan Ikhtiyat. </w:t>
      </w:r>
      <w:r w:rsidRPr="00C55B9C">
        <w:rPr>
          <w:rFonts w:ascii="Palatino Linotype" w:hAnsi="Palatino Linotype" w:cs="Times New Roman"/>
          <w:i/>
          <w:iCs/>
          <w:noProof/>
          <w:sz w:val="24"/>
          <w:szCs w:val="24"/>
        </w:rPr>
        <w:t>Alqalam: Jurnal Kajian Keislaman</w:t>
      </w:r>
      <w:r w:rsidRPr="00C55B9C">
        <w:rPr>
          <w:rFonts w:ascii="Palatino Linotype" w:hAnsi="Palatino Linotype" w:cs="Times New Roman"/>
          <w:noProof/>
          <w:sz w:val="24"/>
          <w:szCs w:val="24"/>
        </w:rPr>
        <w:t xml:space="preserve">, </w:t>
      </w:r>
      <w:r w:rsidRPr="00C55B9C">
        <w:rPr>
          <w:rFonts w:ascii="Palatino Linotype" w:hAnsi="Palatino Linotype" w:cs="Times New Roman"/>
          <w:i/>
          <w:iCs/>
          <w:noProof/>
          <w:sz w:val="24"/>
          <w:szCs w:val="24"/>
        </w:rPr>
        <w:t>28</w:t>
      </w:r>
      <w:r w:rsidRPr="00C55B9C">
        <w:rPr>
          <w:rFonts w:ascii="Palatino Linotype" w:hAnsi="Palatino Linotype" w:cs="Times New Roman"/>
          <w:noProof/>
          <w:sz w:val="24"/>
          <w:szCs w:val="24"/>
        </w:rPr>
        <w:t>(1), 63–86. Retrieved from http://jurnal.uinbanten.ac.id/index.php/alqalam/article/download/512/440/</w:t>
      </w:r>
    </w:p>
    <w:p w:rsidR="002C1E42" w:rsidRPr="00C55B9C" w:rsidRDefault="002C1E42" w:rsidP="002C1E42">
      <w:pPr>
        <w:widowControl w:val="0"/>
        <w:autoSpaceDE w:val="0"/>
        <w:autoSpaceDN w:val="0"/>
        <w:adjustRightInd w:val="0"/>
        <w:spacing w:line="240" w:lineRule="auto"/>
        <w:ind w:left="480" w:hanging="480"/>
        <w:rPr>
          <w:rFonts w:ascii="Palatino Linotype" w:hAnsi="Palatino Linotype" w:cs="Times New Roman"/>
          <w:noProof/>
          <w:sz w:val="24"/>
          <w:szCs w:val="24"/>
        </w:rPr>
      </w:pPr>
      <w:r w:rsidRPr="00C55B9C">
        <w:rPr>
          <w:rFonts w:ascii="Palatino Linotype" w:hAnsi="Palatino Linotype" w:cs="Times New Roman"/>
          <w:noProof/>
          <w:sz w:val="24"/>
          <w:szCs w:val="24"/>
        </w:rPr>
        <w:t xml:space="preserve">Machasin. (2014). </w:t>
      </w:r>
      <w:r w:rsidRPr="00C55B9C">
        <w:rPr>
          <w:rFonts w:ascii="Palatino Linotype" w:hAnsi="Palatino Linotype" w:cs="Times New Roman"/>
          <w:i/>
          <w:iCs/>
          <w:noProof/>
          <w:sz w:val="24"/>
          <w:szCs w:val="24"/>
        </w:rPr>
        <w:t>Fisibilitas Integrasi-Interkoneksi Dalam Pendidikan Dan Kajian Islam Di Indonesia</w:t>
      </w:r>
      <w:r w:rsidRPr="00C55B9C">
        <w:rPr>
          <w:rFonts w:ascii="Palatino Linotype" w:hAnsi="Palatino Linotype" w:cs="Times New Roman"/>
          <w:noProof/>
          <w:sz w:val="24"/>
          <w:szCs w:val="24"/>
        </w:rPr>
        <w:t xml:space="preserve"> (1st ed.). Yogyakarta, Indonesia: Pascasarjana UIN Sunan Kalijaga Yogyakarta.</w:t>
      </w:r>
    </w:p>
    <w:p w:rsidR="002C1E42" w:rsidRPr="00C55B9C" w:rsidRDefault="002C1E42" w:rsidP="002C1E42">
      <w:pPr>
        <w:widowControl w:val="0"/>
        <w:autoSpaceDE w:val="0"/>
        <w:autoSpaceDN w:val="0"/>
        <w:adjustRightInd w:val="0"/>
        <w:spacing w:line="240" w:lineRule="auto"/>
        <w:ind w:left="480" w:hanging="480"/>
        <w:rPr>
          <w:rFonts w:ascii="Palatino Linotype" w:hAnsi="Palatino Linotype" w:cs="Times New Roman"/>
          <w:noProof/>
          <w:sz w:val="24"/>
          <w:szCs w:val="24"/>
        </w:rPr>
      </w:pPr>
      <w:r w:rsidRPr="00C55B9C">
        <w:rPr>
          <w:rFonts w:ascii="Palatino Linotype" w:hAnsi="Palatino Linotype" w:cs="Times New Roman"/>
          <w:noProof/>
          <w:sz w:val="24"/>
          <w:szCs w:val="24"/>
        </w:rPr>
        <w:t xml:space="preserve">Malik, K. (2009). </w:t>
      </w:r>
      <w:r w:rsidRPr="00C55B9C">
        <w:rPr>
          <w:rFonts w:ascii="Palatino Linotype" w:hAnsi="Palatino Linotype" w:cs="Times New Roman"/>
          <w:i/>
          <w:iCs/>
          <w:noProof/>
          <w:sz w:val="24"/>
          <w:szCs w:val="24"/>
        </w:rPr>
        <w:t>From fatwa to jihad the Rushdie affair and its aftermath</w:t>
      </w:r>
      <w:r w:rsidRPr="00C55B9C">
        <w:rPr>
          <w:rFonts w:ascii="Palatino Linotype" w:hAnsi="Palatino Linotype" w:cs="Times New Roman"/>
          <w:noProof/>
          <w:sz w:val="24"/>
          <w:szCs w:val="24"/>
        </w:rPr>
        <w:t xml:space="preserve"> (1st ed.). Retrieved from https://b-ok.asia/book/2590458/147263</w:t>
      </w:r>
    </w:p>
    <w:p w:rsidR="002C1E42" w:rsidRPr="00C55B9C" w:rsidRDefault="002C1E42" w:rsidP="002C1E42">
      <w:pPr>
        <w:widowControl w:val="0"/>
        <w:autoSpaceDE w:val="0"/>
        <w:autoSpaceDN w:val="0"/>
        <w:adjustRightInd w:val="0"/>
        <w:spacing w:line="240" w:lineRule="auto"/>
        <w:ind w:left="480" w:hanging="480"/>
        <w:rPr>
          <w:rFonts w:ascii="Palatino Linotype" w:hAnsi="Palatino Linotype" w:cs="Times New Roman"/>
          <w:noProof/>
          <w:sz w:val="24"/>
          <w:szCs w:val="24"/>
        </w:rPr>
      </w:pPr>
      <w:r w:rsidRPr="00C55B9C">
        <w:rPr>
          <w:rFonts w:ascii="Palatino Linotype" w:hAnsi="Palatino Linotype" w:cs="Times New Roman"/>
          <w:noProof/>
          <w:sz w:val="24"/>
          <w:szCs w:val="24"/>
        </w:rPr>
        <w:t xml:space="preserve">Marpaung, W. (2020). </w:t>
      </w:r>
      <w:r w:rsidRPr="00C55B9C">
        <w:rPr>
          <w:rFonts w:ascii="Palatino Linotype" w:hAnsi="Palatino Linotype" w:cs="Times New Roman"/>
          <w:i/>
          <w:iCs/>
          <w:noProof/>
          <w:sz w:val="24"/>
          <w:szCs w:val="24"/>
        </w:rPr>
        <w:t>Pengantar Hadis-Hadis Kesehatan Studi Pendekatan Integrasi</w:t>
      </w:r>
      <w:r w:rsidRPr="00C55B9C">
        <w:rPr>
          <w:rFonts w:ascii="Palatino Linotype" w:hAnsi="Palatino Linotype" w:cs="Times New Roman"/>
          <w:noProof/>
          <w:sz w:val="24"/>
          <w:szCs w:val="24"/>
        </w:rPr>
        <w:t xml:space="preserve"> (1st ed.; F. Hayati, Ed.). Jakarta, Indonesia: Kencana.</w:t>
      </w:r>
    </w:p>
    <w:p w:rsidR="002C1E42" w:rsidRPr="00C55B9C" w:rsidRDefault="002C1E42" w:rsidP="002C1E42">
      <w:pPr>
        <w:widowControl w:val="0"/>
        <w:autoSpaceDE w:val="0"/>
        <w:autoSpaceDN w:val="0"/>
        <w:adjustRightInd w:val="0"/>
        <w:spacing w:line="240" w:lineRule="auto"/>
        <w:ind w:left="480" w:hanging="480"/>
        <w:rPr>
          <w:rFonts w:ascii="Palatino Linotype" w:hAnsi="Palatino Linotype" w:cs="Times New Roman"/>
          <w:noProof/>
          <w:sz w:val="24"/>
          <w:szCs w:val="24"/>
        </w:rPr>
      </w:pPr>
      <w:r w:rsidRPr="00C55B9C">
        <w:rPr>
          <w:rFonts w:ascii="Palatino Linotype" w:hAnsi="Palatino Linotype" w:cs="Times New Roman"/>
          <w:noProof/>
          <w:sz w:val="24"/>
          <w:szCs w:val="24"/>
        </w:rPr>
        <w:t xml:space="preserve">Miswanto, A. (2019). </w:t>
      </w:r>
      <w:r w:rsidRPr="00C55B9C">
        <w:rPr>
          <w:rFonts w:ascii="Palatino Linotype" w:hAnsi="Palatino Linotype" w:cs="Times New Roman"/>
          <w:i/>
          <w:iCs/>
          <w:noProof/>
          <w:sz w:val="24"/>
          <w:szCs w:val="24"/>
        </w:rPr>
        <w:t>Ushul Fiqh: Metode Ijtihad Hukum Islam</w:t>
      </w:r>
      <w:r w:rsidRPr="00C55B9C">
        <w:rPr>
          <w:rFonts w:ascii="Palatino Linotype" w:hAnsi="Palatino Linotype" w:cs="Times New Roman"/>
          <w:noProof/>
          <w:sz w:val="24"/>
          <w:szCs w:val="24"/>
        </w:rPr>
        <w:t xml:space="preserve"> (1st ed.). Yogyakarta: Magnum Pustaka Utama.</w:t>
      </w:r>
    </w:p>
    <w:p w:rsidR="002C1E42" w:rsidRPr="00C55B9C" w:rsidRDefault="002C1E42" w:rsidP="002C1E42">
      <w:pPr>
        <w:widowControl w:val="0"/>
        <w:autoSpaceDE w:val="0"/>
        <w:autoSpaceDN w:val="0"/>
        <w:adjustRightInd w:val="0"/>
        <w:spacing w:line="240" w:lineRule="auto"/>
        <w:ind w:left="480" w:hanging="480"/>
        <w:rPr>
          <w:rFonts w:ascii="Palatino Linotype" w:hAnsi="Palatino Linotype" w:cs="Times New Roman"/>
          <w:noProof/>
          <w:sz w:val="24"/>
          <w:szCs w:val="24"/>
        </w:rPr>
      </w:pPr>
      <w:r w:rsidRPr="00C55B9C">
        <w:rPr>
          <w:rFonts w:ascii="Palatino Linotype" w:hAnsi="Palatino Linotype" w:cs="Times New Roman"/>
          <w:noProof/>
          <w:sz w:val="24"/>
          <w:szCs w:val="24"/>
        </w:rPr>
        <w:t xml:space="preserve">Mukri, M. (2015). </w:t>
      </w:r>
      <w:r w:rsidRPr="00C55B9C">
        <w:rPr>
          <w:rFonts w:ascii="Palatino Linotype" w:hAnsi="Palatino Linotype" w:cs="Times New Roman"/>
          <w:i/>
          <w:iCs/>
          <w:noProof/>
          <w:sz w:val="24"/>
          <w:szCs w:val="24"/>
        </w:rPr>
        <w:t>Fundamentalisme dalam Islam: Paham dan Fatwa Ulama Wahabi</w:t>
      </w:r>
      <w:r w:rsidRPr="00C55B9C">
        <w:rPr>
          <w:rFonts w:ascii="Palatino Linotype" w:hAnsi="Palatino Linotype" w:cs="Times New Roman"/>
          <w:noProof/>
          <w:sz w:val="24"/>
          <w:szCs w:val="24"/>
        </w:rPr>
        <w:t xml:space="preserve"> (1st ed.). Retrieved from https://b-ok.asia/book/10575700/e04ab4</w:t>
      </w:r>
    </w:p>
    <w:p w:rsidR="002C1E42" w:rsidRPr="00C55B9C" w:rsidRDefault="002C1E42" w:rsidP="002C1E42">
      <w:pPr>
        <w:widowControl w:val="0"/>
        <w:autoSpaceDE w:val="0"/>
        <w:autoSpaceDN w:val="0"/>
        <w:adjustRightInd w:val="0"/>
        <w:spacing w:line="240" w:lineRule="auto"/>
        <w:ind w:left="480" w:hanging="480"/>
        <w:rPr>
          <w:rFonts w:ascii="Palatino Linotype" w:hAnsi="Palatino Linotype" w:cs="Times New Roman"/>
          <w:noProof/>
          <w:sz w:val="24"/>
          <w:szCs w:val="24"/>
        </w:rPr>
      </w:pPr>
      <w:r w:rsidRPr="00C55B9C">
        <w:rPr>
          <w:rFonts w:ascii="Palatino Linotype" w:hAnsi="Palatino Linotype" w:cs="Times New Roman"/>
          <w:noProof/>
          <w:sz w:val="24"/>
          <w:szCs w:val="24"/>
        </w:rPr>
        <w:t xml:space="preserve">Nasih, A. M. (2013). Lembaga Fatwa Keagamaan di Indonesia (Telaah Atas Lembaga Majlis Tarjih dan Lajnah Bathsul Masail). </w:t>
      </w:r>
      <w:r w:rsidRPr="00C55B9C">
        <w:rPr>
          <w:rFonts w:ascii="Palatino Linotype" w:hAnsi="Palatino Linotype" w:cs="Times New Roman"/>
          <w:i/>
          <w:iCs/>
          <w:noProof/>
          <w:sz w:val="24"/>
          <w:szCs w:val="24"/>
        </w:rPr>
        <w:t>De Jure: Jurnal Syariah Dan Hukum</w:t>
      </w:r>
      <w:r w:rsidRPr="00C55B9C">
        <w:rPr>
          <w:rFonts w:ascii="Palatino Linotype" w:hAnsi="Palatino Linotype" w:cs="Times New Roman"/>
          <w:noProof/>
          <w:sz w:val="24"/>
          <w:szCs w:val="24"/>
        </w:rPr>
        <w:t xml:space="preserve">, </w:t>
      </w:r>
      <w:r w:rsidRPr="00C55B9C">
        <w:rPr>
          <w:rFonts w:ascii="Palatino Linotype" w:hAnsi="Palatino Linotype" w:cs="Times New Roman"/>
          <w:i/>
          <w:iCs/>
          <w:noProof/>
          <w:sz w:val="24"/>
          <w:szCs w:val="24"/>
        </w:rPr>
        <w:lastRenderedPageBreak/>
        <w:t>5</w:t>
      </w:r>
      <w:r w:rsidRPr="00C55B9C">
        <w:rPr>
          <w:rFonts w:ascii="Palatino Linotype" w:hAnsi="Palatino Linotype" w:cs="Times New Roman"/>
          <w:noProof/>
          <w:sz w:val="24"/>
          <w:szCs w:val="24"/>
        </w:rPr>
        <w:t>(1), 67–78. Retrieved from https://media.neliti.com/media/publications/23653-ID-lembaga-fatwa-keagamaan-di-indonesia-telaah-atas-lembaga-majlis-tarjih-dan-lajna.pdf</w:t>
      </w:r>
    </w:p>
    <w:p w:rsidR="002C1E42" w:rsidRPr="00C55B9C" w:rsidRDefault="002C1E42" w:rsidP="002C1E42">
      <w:pPr>
        <w:widowControl w:val="0"/>
        <w:autoSpaceDE w:val="0"/>
        <w:autoSpaceDN w:val="0"/>
        <w:adjustRightInd w:val="0"/>
        <w:spacing w:line="240" w:lineRule="auto"/>
        <w:ind w:left="480" w:hanging="480"/>
        <w:rPr>
          <w:rFonts w:ascii="Palatino Linotype" w:hAnsi="Palatino Linotype" w:cs="Times New Roman"/>
          <w:noProof/>
          <w:sz w:val="24"/>
          <w:szCs w:val="24"/>
        </w:rPr>
      </w:pPr>
      <w:r w:rsidRPr="00C55B9C">
        <w:rPr>
          <w:rFonts w:ascii="Palatino Linotype" w:hAnsi="Palatino Linotype" w:cs="Times New Roman"/>
          <w:noProof/>
          <w:sz w:val="24"/>
          <w:szCs w:val="24"/>
        </w:rPr>
        <w:t xml:space="preserve">Nasution, K. (2014). Studi Integratif-Interkonektif: Pengalaman Dan Pengembangan Pascasarjana UIN Sunan Kalijaga Yogyakarta. In </w:t>
      </w:r>
      <w:r w:rsidRPr="00C55B9C">
        <w:rPr>
          <w:rFonts w:ascii="Palatino Linotype" w:hAnsi="Palatino Linotype" w:cs="Times New Roman"/>
          <w:i/>
          <w:iCs/>
          <w:noProof/>
          <w:sz w:val="24"/>
          <w:szCs w:val="24"/>
        </w:rPr>
        <w:t>Praksis Paradigma Integrasi-Interkoneksi dan Transformasi Islamic Studies di UIN Sunan Kalijaga</w:t>
      </w:r>
      <w:r w:rsidRPr="00C55B9C">
        <w:rPr>
          <w:rFonts w:ascii="Palatino Linotype" w:hAnsi="Palatino Linotype" w:cs="Times New Roman"/>
          <w:noProof/>
          <w:sz w:val="24"/>
          <w:szCs w:val="24"/>
        </w:rPr>
        <w:t xml:space="preserve"> (1st ed., pp. 63–75). Yogyakarta, Indonesia: Pascasarjana UIN Sunan Kalijaga Yogyakarta.</w:t>
      </w:r>
    </w:p>
    <w:p w:rsidR="002C1E42" w:rsidRPr="00C55B9C" w:rsidRDefault="002C1E42" w:rsidP="002C1E42">
      <w:pPr>
        <w:widowControl w:val="0"/>
        <w:autoSpaceDE w:val="0"/>
        <w:autoSpaceDN w:val="0"/>
        <w:adjustRightInd w:val="0"/>
        <w:spacing w:line="240" w:lineRule="auto"/>
        <w:ind w:left="480" w:hanging="480"/>
        <w:rPr>
          <w:rFonts w:ascii="Palatino Linotype" w:hAnsi="Palatino Linotype" w:cs="Times New Roman"/>
          <w:noProof/>
          <w:sz w:val="24"/>
          <w:szCs w:val="24"/>
        </w:rPr>
      </w:pPr>
      <w:r w:rsidRPr="00C55B9C">
        <w:rPr>
          <w:rFonts w:ascii="Palatino Linotype" w:hAnsi="Palatino Linotype" w:cs="Times New Roman"/>
          <w:noProof/>
          <w:sz w:val="24"/>
          <w:szCs w:val="24"/>
        </w:rPr>
        <w:t xml:space="preserve">Qardhawi, Y. (1988). </w:t>
      </w:r>
      <w:r w:rsidRPr="00C55B9C">
        <w:rPr>
          <w:rFonts w:ascii="Palatino Linotype" w:hAnsi="Palatino Linotype" w:cs="Times New Roman"/>
          <w:i/>
          <w:iCs/>
          <w:noProof/>
          <w:sz w:val="24"/>
          <w:szCs w:val="24"/>
        </w:rPr>
        <w:t>al-Fatwa bain al-Inthibath wa al-Tasayub</w:t>
      </w:r>
      <w:r w:rsidRPr="00C55B9C">
        <w:rPr>
          <w:rFonts w:ascii="Palatino Linotype" w:hAnsi="Palatino Linotype" w:cs="Times New Roman"/>
          <w:noProof/>
          <w:sz w:val="24"/>
          <w:szCs w:val="24"/>
        </w:rPr>
        <w:t xml:space="preserve"> (1st ed.). Retrieved from https://www.quranicthought.com/ar/books/</w:t>
      </w:r>
      <w:r w:rsidRPr="00C55B9C">
        <w:rPr>
          <w:rFonts w:ascii="Palatino Linotype" w:hAnsi="Palatino Linotype" w:cs="Times New Roman"/>
          <w:noProof/>
          <w:sz w:val="24"/>
          <w:szCs w:val="24"/>
          <w:rtl/>
        </w:rPr>
        <w:t>الفتوى-بين-الإنضباط-والتسيب</w:t>
      </w:r>
      <w:r w:rsidRPr="00C55B9C">
        <w:rPr>
          <w:rFonts w:ascii="Palatino Linotype" w:hAnsi="Palatino Linotype" w:cs="Times New Roman"/>
          <w:noProof/>
          <w:sz w:val="24"/>
          <w:szCs w:val="24"/>
        </w:rPr>
        <w:t>/</w:t>
      </w:r>
    </w:p>
    <w:p w:rsidR="002C1E42" w:rsidRPr="00C55B9C" w:rsidRDefault="002C1E42" w:rsidP="002C1E42">
      <w:pPr>
        <w:widowControl w:val="0"/>
        <w:autoSpaceDE w:val="0"/>
        <w:autoSpaceDN w:val="0"/>
        <w:adjustRightInd w:val="0"/>
        <w:spacing w:line="240" w:lineRule="auto"/>
        <w:ind w:left="480" w:hanging="480"/>
        <w:rPr>
          <w:rFonts w:ascii="Palatino Linotype" w:hAnsi="Palatino Linotype" w:cs="Times New Roman"/>
          <w:noProof/>
          <w:sz w:val="24"/>
          <w:szCs w:val="24"/>
        </w:rPr>
      </w:pPr>
      <w:r w:rsidRPr="00C55B9C">
        <w:rPr>
          <w:rFonts w:ascii="Palatino Linotype" w:hAnsi="Palatino Linotype" w:cs="Times New Roman"/>
          <w:noProof/>
          <w:sz w:val="24"/>
          <w:szCs w:val="24"/>
        </w:rPr>
        <w:t xml:space="preserve">Qasim, M. (2020). </w:t>
      </w:r>
      <w:r w:rsidRPr="00C55B9C">
        <w:rPr>
          <w:rFonts w:ascii="Palatino Linotype" w:hAnsi="Palatino Linotype" w:cs="Times New Roman"/>
          <w:i/>
          <w:iCs/>
          <w:noProof/>
          <w:sz w:val="24"/>
          <w:szCs w:val="24"/>
        </w:rPr>
        <w:t>Membangun Moderasi Beragama Umat Melalui Integrasi Keilmuan</w:t>
      </w:r>
      <w:r w:rsidRPr="00C55B9C">
        <w:rPr>
          <w:rFonts w:ascii="Palatino Linotype" w:hAnsi="Palatino Linotype" w:cs="Times New Roman"/>
          <w:noProof/>
          <w:sz w:val="24"/>
          <w:szCs w:val="24"/>
        </w:rPr>
        <w:t xml:space="preserve"> (1st ed.; N. N. Ichiana, Ed.). Makasar, Indonesia: Alauddin University Press.</w:t>
      </w:r>
    </w:p>
    <w:p w:rsidR="002C1E42" w:rsidRPr="00C55B9C" w:rsidRDefault="002C1E42" w:rsidP="002C1E42">
      <w:pPr>
        <w:widowControl w:val="0"/>
        <w:autoSpaceDE w:val="0"/>
        <w:autoSpaceDN w:val="0"/>
        <w:adjustRightInd w:val="0"/>
        <w:spacing w:line="240" w:lineRule="auto"/>
        <w:ind w:left="480" w:hanging="480"/>
        <w:rPr>
          <w:rFonts w:ascii="Palatino Linotype" w:hAnsi="Palatino Linotype" w:cs="Times New Roman"/>
          <w:noProof/>
          <w:sz w:val="24"/>
          <w:szCs w:val="24"/>
        </w:rPr>
      </w:pPr>
      <w:r w:rsidRPr="00C55B9C">
        <w:rPr>
          <w:rFonts w:ascii="Palatino Linotype" w:hAnsi="Palatino Linotype" w:cs="Times New Roman"/>
          <w:noProof/>
          <w:sz w:val="24"/>
          <w:szCs w:val="24"/>
        </w:rPr>
        <w:t xml:space="preserve">Ridwan, M. (2017). Konstruksi Otoritarianisme Hukum Islam Menurut Khaled M. Abou El-Fadl. </w:t>
      </w:r>
      <w:r w:rsidRPr="00C55B9C">
        <w:rPr>
          <w:rFonts w:ascii="Palatino Linotype" w:hAnsi="Palatino Linotype" w:cs="Times New Roman"/>
          <w:i/>
          <w:iCs/>
          <w:noProof/>
          <w:sz w:val="24"/>
          <w:szCs w:val="24"/>
        </w:rPr>
        <w:t>Jurnal Fenomena</w:t>
      </w:r>
      <w:r w:rsidRPr="00C55B9C">
        <w:rPr>
          <w:rFonts w:ascii="Palatino Linotype" w:hAnsi="Palatino Linotype" w:cs="Times New Roman"/>
          <w:noProof/>
          <w:sz w:val="24"/>
          <w:szCs w:val="24"/>
        </w:rPr>
        <w:t xml:space="preserve">, </w:t>
      </w:r>
      <w:r w:rsidRPr="00C55B9C">
        <w:rPr>
          <w:rFonts w:ascii="Palatino Linotype" w:hAnsi="Palatino Linotype" w:cs="Times New Roman"/>
          <w:i/>
          <w:iCs/>
          <w:noProof/>
          <w:sz w:val="24"/>
          <w:szCs w:val="24"/>
        </w:rPr>
        <w:t>9</w:t>
      </w:r>
      <w:r w:rsidRPr="00C55B9C">
        <w:rPr>
          <w:rFonts w:ascii="Palatino Linotype" w:hAnsi="Palatino Linotype" w:cs="Times New Roman"/>
          <w:noProof/>
          <w:sz w:val="24"/>
          <w:szCs w:val="24"/>
        </w:rPr>
        <w:t>(1), 187–196. Retrieved from https://journal.iain-samarinda.ac.id/index.php/fenomena/article/view/1296/695</w:t>
      </w:r>
    </w:p>
    <w:p w:rsidR="002C1E42" w:rsidRPr="00C55B9C" w:rsidRDefault="002C1E42" w:rsidP="002C1E42">
      <w:pPr>
        <w:widowControl w:val="0"/>
        <w:autoSpaceDE w:val="0"/>
        <w:autoSpaceDN w:val="0"/>
        <w:adjustRightInd w:val="0"/>
        <w:spacing w:line="240" w:lineRule="auto"/>
        <w:ind w:left="480" w:hanging="480"/>
        <w:rPr>
          <w:rFonts w:ascii="Palatino Linotype" w:hAnsi="Palatino Linotype" w:cs="Times New Roman"/>
          <w:noProof/>
          <w:sz w:val="24"/>
          <w:szCs w:val="24"/>
        </w:rPr>
      </w:pPr>
      <w:r w:rsidRPr="00C55B9C">
        <w:rPr>
          <w:rFonts w:ascii="Palatino Linotype" w:hAnsi="Palatino Linotype" w:cs="Times New Roman"/>
          <w:noProof/>
          <w:sz w:val="24"/>
          <w:szCs w:val="24"/>
        </w:rPr>
        <w:t xml:space="preserve">Risalah, D. F., &amp; Aini, N. (2017, January 31). Ketua MUI Ungkap Proses Penerbitan Fatwa Ahok Menista Agama. </w:t>
      </w:r>
      <w:r w:rsidRPr="00C55B9C">
        <w:rPr>
          <w:rFonts w:ascii="Palatino Linotype" w:hAnsi="Palatino Linotype" w:cs="Times New Roman"/>
          <w:i/>
          <w:iCs/>
          <w:noProof/>
          <w:sz w:val="24"/>
          <w:szCs w:val="24"/>
        </w:rPr>
        <w:t>Www.Republika.Co.Id</w:t>
      </w:r>
      <w:r w:rsidRPr="00C55B9C">
        <w:rPr>
          <w:rFonts w:ascii="Palatino Linotype" w:hAnsi="Palatino Linotype" w:cs="Times New Roman"/>
          <w:noProof/>
          <w:sz w:val="24"/>
          <w:szCs w:val="24"/>
        </w:rPr>
        <w:t>. Retrieved from https://www.republika.co.id/berita/nasional/hukum/17/01/31/okmtmw382-ketua-mui-ungkap-proses-penerbitan-fatwa-ahok-menista-agama</w:t>
      </w:r>
    </w:p>
    <w:p w:rsidR="002C1E42" w:rsidRPr="00C55B9C" w:rsidRDefault="002C1E42" w:rsidP="002C1E42">
      <w:pPr>
        <w:widowControl w:val="0"/>
        <w:autoSpaceDE w:val="0"/>
        <w:autoSpaceDN w:val="0"/>
        <w:adjustRightInd w:val="0"/>
        <w:spacing w:line="240" w:lineRule="auto"/>
        <w:ind w:left="480" w:hanging="480"/>
        <w:rPr>
          <w:rFonts w:ascii="Palatino Linotype" w:hAnsi="Palatino Linotype" w:cs="Times New Roman"/>
          <w:noProof/>
          <w:sz w:val="24"/>
          <w:szCs w:val="24"/>
        </w:rPr>
      </w:pPr>
      <w:r w:rsidRPr="00C55B9C">
        <w:rPr>
          <w:rFonts w:ascii="Palatino Linotype" w:hAnsi="Palatino Linotype" w:cs="Times New Roman"/>
          <w:noProof/>
          <w:sz w:val="24"/>
          <w:szCs w:val="24"/>
        </w:rPr>
        <w:t xml:space="preserve">Riyanto, W. F. (2012). </w:t>
      </w:r>
      <w:r w:rsidRPr="00C55B9C">
        <w:rPr>
          <w:rFonts w:ascii="Palatino Linotype" w:hAnsi="Palatino Linotype" w:cs="Times New Roman"/>
          <w:i/>
          <w:iCs/>
          <w:noProof/>
          <w:sz w:val="24"/>
          <w:szCs w:val="24"/>
        </w:rPr>
        <w:t>Implementasi Paradigma Integrasi-Interkoneksi dalam Penelitian 3 (tiga) Disertasi Dosen UIN Sunan Kalijaga</w:t>
      </w:r>
      <w:r w:rsidRPr="00C55B9C">
        <w:rPr>
          <w:rFonts w:ascii="Palatino Linotype" w:hAnsi="Palatino Linotype" w:cs="Times New Roman"/>
          <w:noProof/>
          <w:sz w:val="24"/>
          <w:szCs w:val="24"/>
        </w:rPr>
        <w:t xml:space="preserve"> (1st ed.; M. Idris, Ed.). Yogyakarta, Indonesia: Lemlit UIN Sunan Kalijaga Yogykarta.</w:t>
      </w:r>
    </w:p>
    <w:p w:rsidR="002C1E42" w:rsidRPr="00C55B9C" w:rsidRDefault="002C1E42" w:rsidP="002C1E42">
      <w:pPr>
        <w:widowControl w:val="0"/>
        <w:autoSpaceDE w:val="0"/>
        <w:autoSpaceDN w:val="0"/>
        <w:adjustRightInd w:val="0"/>
        <w:spacing w:line="240" w:lineRule="auto"/>
        <w:ind w:left="480" w:hanging="480"/>
        <w:rPr>
          <w:rFonts w:ascii="Palatino Linotype" w:hAnsi="Palatino Linotype" w:cs="Times New Roman"/>
          <w:noProof/>
          <w:sz w:val="24"/>
          <w:szCs w:val="24"/>
        </w:rPr>
      </w:pPr>
      <w:r w:rsidRPr="00C55B9C">
        <w:rPr>
          <w:rFonts w:ascii="Palatino Linotype" w:hAnsi="Palatino Linotype" w:cs="Times New Roman"/>
          <w:noProof/>
          <w:sz w:val="24"/>
          <w:szCs w:val="24"/>
        </w:rPr>
        <w:t xml:space="preserve">Setiyanto, D. A. (2018). Fatwa Sebagai Media Social Engineering (Analisis Fatwa MUI di Bidang Hukum Keluarga Pasca Reformasi). </w:t>
      </w:r>
      <w:r w:rsidRPr="00C55B9C">
        <w:rPr>
          <w:rFonts w:ascii="Palatino Linotype" w:hAnsi="Palatino Linotype" w:cs="Times New Roman"/>
          <w:i/>
          <w:iCs/>
          <w:noProof/>
          <w:sz w:val="24"/>
          <w:szCs w:val="24"/>
        </w:rPr>
        <w:t>Al-Ahkam Jurnal Ilmu Syari’ah Dan Hukum</w:t>
      </w:r>
      <w:r w:rsidRPr="00C55B9C">
        <w:rPr>
          <w:rFonts w:ascii="Palatino Linotype" w:hAnsi="Palatino Linotype" w:cs="Times New Roman"/>
          <w:noProof/>
          <w:sz w:val="24"/>
          <w:szCs w:val="24"/>
        </w:rPr>
        <w:t xml:space="preserve">, </w:t>
      </w:r>
      <w:r w:rsidRPr="00C55B9C">
        <w:rPr>
          <w:rFonts w:ascii="Palatino Linotype" w:hAnsi="Palatino Linotype" w:cs="Times New Roman"/>
          <w:i/>
          <w:iCs/>
          <w:noProof/>
          <w:sz w:val="24"/>
          <w:szCs w:val="24"/>
        </w:rPr>
        <w:t>3</w:t>
      </w:r>
      <w:r w:rsidRPr="00C55B9C">
        <w:rPr>
          <w:rFonts w:ascii="Palatino Linotype" w:hAnsi="Palatino Linotype" w:cs="Times New Roman"/>
          <w:noProof/>
          <w:sz w:val="24"/>
          <w:szCs w:val="24"/>
        </w:rPr>
        <w:t>(1), 85–106. https://doi.org/https://doi.org/10.22515/al-ahkam.v3i1.1342</w:t>
      </w:r>
    </w:p>
    <w:p w:rsidR="002C1E42" w:rsidRPr="00C55B9C" w:rsidRDefault="002C1E42" w:rsidP="002C1E42">
      <w:pPr>
        <w:widowControl w:val="0"/>
        <w:autoSpaceDE w:val="0"/>
        <w:autoSpaceDN w:val="0"/>
        <w:adjustRightInd w:val="0"/>
        <w:spacing w:line="240" w:lineRule="auto"/>
        <w:ind w:left="480" w:hanging="480"/>
        <w:rPr>
          <w:rFonts w:ascii="Palatino Linotype" w:hAnsi="Palatino Linotype" w:cs="Times New Roman"/>
          <w:noProof/>
          <w:sz w:val="24"/>
          <w:szCs w:val="24"/>
        </w:rPr>
      </w:pPr>
      <w:r w:rsidRPr="00C55B9C">
        <w:rPr>
          <w:rFonts w:ascii="Palatino Linotype" w:hAnsi="Palatino Linotype" w:cs="Times New Roman"/>
          <w:noProof/>
          <w:sz w:val="24"/>
          <w:szCs w:val="24"/>
        </w:rPr>
        <w:t xml:space="preserve">Shah, Z. A. (2014). </w:t>
      </w:r>
      <w:r w:rsidRPr="00C55B9C">
        <w:rPr>
          <w:rFonts w:ascii="Palatino Linotype" w:hAnsi="Palatino Linotype" w:cs="Times New Roman"/>
          <w:i/>
          <w:iCs/>
          <w:noProof/>
          <w:sz w:val="24"/>
          <w:szCs w:val="24"/>
        </w:rPr>
        <w:t>Ifta</w:t>
      </w:r>
      <w:r w:rsidRPr="00C55B9C">
        <w:rPr>
          <w:rFonts w:ascii="Times New Roman" w:hAnsi="Times New Roman" w:cs="Times New Roman"/>
          <w:i/>
          <w:iCs/>
          <w:noProof/>
          <w:sz w:val="24"/>
          <w:szCs w:val="24"/>
        </w:rPr>
        <w:t>̄ʼ</w:t>
      </w:r>
      <w:r w:rsidRPr="00C55B9C">
        <w:rPr>
          <w:rFonts w:ascii="Palatino Linotype" w:hAnsi="Palatino Linotype" w:cs="Times New Roman"/>
          <w:i/>
          <w:iCs/>
          <w:noProof/>
          <w:sz w:val="24"/>
          <w:szCs w:val="24"/>
        </w:rPr>
        <w:t xml:space="preserve"> and fatwa in the Muslim world and the West</w:t>
      </w:r>
      <w:r w:rsidRPr="00C55B9C">
        <w:rPr>
          <w:rFonts w:ascii="Palatino Linotype" w:hAnsi="Palatino Linotype" w:cs="Times New Roman"/>
          <w:noProof/>
          <w:sz w:val="24"/>
          <w:szCs w:val="24"/>
        </w:rPr>
        <w:t xml:space="preserve"> (1st ed.). London, UK: The International Institute of Islamic Thought.</w:t>
      </w:r>
    </w:p>
    <w:p w:rsidR="002C1E42" w:rsidRPr="00C55B9C" w:rsidRDefault="002C1E42" w:rsidP="002C1E42">
      <w:pPr>
        <w:widowControl w:val="0"/>
        <w:autoSpaceDE w:val="0"/>
        <w:autoSpaceDN w:val="0"/>
        <w:adjustRightInd w:val="0"/>
        <w:spacing w:line="240" w:lineRule="auto"/>
        <w:ind w:left="480" w:hanging="480"/>
        <w:rPr>
          <w:rFonts w:ascii="Palatino Linotype" w:hAnsi="Palatino Linotype" w:cs="Times New Roman"/>
          <w:noProof/>
          <w:sz w:val="24"/>
          <w:szCs w:val="24"/>
        </w:rPr>
      </w:pPr>
      <w:r w:rsidRPr="00C55B9C">
        <w:rPr>
          <w:rFonts w:ascii="Palatino Linotype" w:hAnsi="Palatino Linotype" w:cs="Times New Roman"/>
          <w:noProof/>
          <w:sz w:val="24"/>
          <w:szCs w:val="24"/>
        </w:rPr>
        <w:t xml:space="preserve">Shourie, A. (2012). </w:t>
      </w:r>
      <w:r w:rsidRPr="00C55B9C">
        <w:rPr>
          <w:rFonts w:ascii="Palatino Linotype" w:hAnsi="Palatino Linotype" w:cs="Times New Roman"/>
          <w:i/>
          <w:iCs/>
          <w:noProof/>
          <w:sz w:val="24"/>
          <w:szCs w:val="24"/>
        </w:rPr>
        <w:t>The World of Fatwas Or The Sharia in Action</w:t>
      </w:r>
      <w:r w:rsidRPr="00C55B9C">
        <w:rPr>
          <w:rFonts w:ascii="Palatino Linotype" w:hAnsi="Palatino Linotype" w:cs="Times New Roman"/>
          <w:noProof/>
          <w:sz w:val="24"/>
          <w:szCs w:val="24"/>
        </w:rPr>
        <w:t xml:space="preserve"> (1st ed.). Retrieved from https://b-ok.asia/book/3400122/dfde6a</w:t>
      </w:r>
    </w:p>
    <w:p w:rsidR="002C1E42" w:rsidRPr="00C55B9C" w:rsidRDefault="002C1E42" w:rsidP="002C1E42">
      <w:pPr>
        <w:widowControl w:val="0"/>
        <w:autoSpaceDE w:val="0"/>
        <w:autoSpaceDN w:val="0"/>
        <w:adjustRightInd w:val="0"/>
        <w:spacing w:line="240" w:lineRule="auto"/>
        <w:ind w:left="480" w:hanging="480"/>
        <w:rPr>
          <w:rFonts w:ascii="Palatino Linotype" w:hAnsi="Palatino Linotype" w:cs="Times New Roman"/>
          <w:noProof/>
          <w:sz w:val="24"/>
          <w:szCs w:val="24"/>
        </w:rPr>
      </w:pPr>
      <w:r w:rsidRPr="00C55B9C">
        <w:rPr>
          <w:rFonts w:ascii="Palatino Linotype" w:hAnsi="Palatino Linotype" w:cs="Times New Roman"/>
          <w:noProof/>
          <w:sz w:val="24"/>
          <w:szCs w:val="24"/>
        </w:rPr>
        <w:t xml:space="preserve">Simamora, A. R., Hamid, A., &amp; Hikmawan, M. D. (2019). Diskriminasi Terhadap Kelompok Minoritas Jemaat AhmadiyahIndonesia (JAI) di Tangerang Selatan. </w:t>
      </w:r>
      <w:r w:rsidRPr="00C55B9C">
        <w:rPr>
          <w:rFonts w:ascii="Palatino Linotype" w:hAnsi="Palatino Linotype" w:cs="Times New Roman"/>
          <w:i/>
          <w:iCs/>
          <w:noProof/>
          <w:sz w:val="24"/>
          <w:szCs w:val="24"/>
        </w:rPr>
        <w:t>IJD: International Journal of DEMOs</w:t>
      </w:r>
      <w:r w:rsidRPr="00C55B9C">
        <w:rPr>
          <w:rFonts w:ascii="Palatino Linotype" w:hAnsi="Palatino Linotype" w:cs="Times New Roman"/>
          <w:noProof/>
          <w:sz w:val="24"/>
          <w:szCs w:val="24"/>
        </w:rPr>
        <w:t xml:space="preserve">, </w:t>
      </w:r>
      <w:r w:rsidRPr="00C55B9C">
        <w:rPr>
          <w:rFonts w:ascii="Palatino Linotype" w:hAnsi="Palatino Linotype" w:cs="Times New Roman"/>
          <w:i/>
          <w:iCs/>
          <w:noProof/>
          <w:sz w:val="24"/>
          <w:szCs w:val="24"/>
        </w:rPr>
        <w:t>1</w:t>
      </w:r>
      <w:r w:rsidRPr="00C55B9C">
        <w:rPr>
          <w:rFonts w:ascii="Palatino Linotype" w:hAnsi="Palatino Linotype" w:cs="Times New Roman"/>
          <w:noProof/>
          <w:sz w:val="24"/>
          <w:szCs w:val="24"/>
        </w:rPr>
        <w:t>(1), 19–37. Retrieved from http://hk-publishing.id/ijd-demos/article/download/4/pdf.</w:t>
      </w:r>
    </w:p>
    <w:p w:rsidR="002C1E42" w:rsidRPr="00C55B9C" w:rsidRDefault="002C1E42" w:rsidP="002C1E42">
      <w:pPr>
        <w:widowControl w:val="0"/>
        <w:autoSpaceDE w:val="0"/>
        <w:autoSpaceDN w:val="0"/>
        <w:adjustRightInd w:val="0"/>
        <w:spacing w:line="240" w:lineRule="auto"/>
        <w:ind w:left="480" w:hanging="480"/>
        <w:rPr>
          <w:rFonts w:ascii="Palatino Linotype" w:hAnsi="Palatino Linotype" w:cs="Times New Roman"/>
          <w:noProof/>
          <w:sz w:val="24"/>
          <w:szCs w:val="24"/>
        </w:rPr>
      </w:pPr>
      <w:r w:rsidRPr="00C55B9C">
        <w:rPr>
          <w:rFonts w:ascii="Palatino Linotype" w:hAnsi="Palatino Linotype" w:cs="Times New Roman"/>
          <w:noProof/>
          <w:sz w:val="24"/>
          <w:szCs w:val="24"/>
        </w:rPr>
        <w:t xml:space="preserve">Skovgaard-Petersen, J. (1997). </w:t>
      </w:r>
      <w:r w:rsidRPr="00C55B9C">
        <w:rPr>
          <w:rFonts w:ascii="Palatino Linotype" w:hAnsi="Palatino Linotype" w:cs="Times New Roman"/>
          <w:i/>
          <w:iCs/>
          <w:noProof/>
          <w:sz w:val="24"/>
          <w:szCs w:val="24"/>
        </w:rPr>
        <w:t xml:space="preserve">Defining Islam for the Egyptian State: Muftis and Fatwas </w:t>
      </w:r>
      <w:r w:rsidRPr="00C55B9C">
        <w:rPr>
          <w:rFonts w:ascii="Palatino Linotype" w:hAnsi="Palatino Linotype" w:cs="Times New Roman"/>
          <w:i/>
          <w:iCs/>
          <w:noProof/>
          <w:sz w:val="24"/>
          <w:szCs w:val="24"/>
        </w:rPr>
        <w:lastRenderedPageBreak/>
        <w:t>of the Dar Al-Ifta (Social, Economic and Political Studies of the Middle East and Asia)</w:t>
      </w:r>
      <w:r w:rsidRPr="00C55B9C">
        <w:rPr>
          <w:rFonts w:ascii="Palatino Linotype" w:hAnsi="Palatino Linotype" w:cs="Times New Roman"/>
          <w:noProof/>
          <w:sz w:val="24"/>
          <w:szCs w:val="24"/>
        </w:rPr>
        <w:t xml:space="preserve"> (1st ed.). Retrieved from https://b-ok.asia/book/1056920/4f2e0e</w:t>
      </w:r>
    </w:p>
    <w:p w:rsidR="002C1E42" w:rsidRPr="00C55B9C" w:rsidRDefault="002C1E42" w:rsidP="002C1E42">
      <w:pPr>
        <w:widowControl w:val="0"/>
        <w:autoSpaceDE w:val="0"/>
        <w:autoSpaceDN w:val="0"/>
        <w:adjustRightInd w:val="0"/>
        <w:spacing w:line="240" w:lineRule="auto"/>
        <w:ind w:left="480" w:hanging="480"/>
        <w:rPr>
          <w:rFonts w:ascii="Palatino Linotype" w:hAnsi="Palatino Linotype" w:cs="Times New Roman"/>
          <w:noProof/>
          <w:sz w:val="24"/>
          <w:szCs w:val="24"/>
        </w:rPr>
      </w:pPr>
      <w:r w:rsidRPr="00C55B9C">
        <w:rPr>
          <w:rFonts w:ascii="Palatino Linotype" w:hAnsi="Palatino Linotype" w:cs="Times New Roman"/>
          <w:noProof/>
          <w:sz w:val="24"/>
          <w:szCs w:val="24"/>
        </w:rPr>
        <w:t xml:space="preserve">Soleh, A. K. (2020). </w:t>
      </w:r>
      <w:r w:rsidRPr="00C55B9C">
        <w:rPr>
          <w:rFonts w:ascii="Palatino Linotype" w:hAnsi="Palatino Linotype" w:cs="Times New Roman"/>
          <w:i/>
          <w:iCs/>
          <w:noProof/>
          <w:sz w:val="24"/>
          <w:szCs w:val="24"/>
        </w:rPr>
        <w:t>Integrasi Quantum Agama Dan Sains</w:t>
      </w:r>
      <w:r w:rsidRPr="00C55B9C">
        <w:rPr>
          <w:rFonts w:ascii="Palatino Linotype" w:hAnsi="Palatino Linotype" w:cs="Times New Roman"/>
          <w:noProof/>
          <w:sz w:val="24"/>
          <w:szCs w:val="24"/>
        </w:rPr>
        <w:t xml:space="preserve"> (1st ed.; E. S. Rahmawati, Ed.). Malang, Jawa Timur, Indonesia: UIN-Maliki Press.</w:t>
      </w:r>
    </w:p>
    <w:p w:rsidR="002C1E42" w:rsidRPr="00C55B9C" w:rsidRDefault="002C1E42" w:rsidP="002C1E42">
      <w:pPr>
        <w:widowControl w:val="0"/>
        <w:autoSpaceDE w:val="0"/>
        <w:autoSpaceDN w:val="0"/>
        <w:adjustRightInd w:val="0"/>
        <w:spacing w:line="240" w:lineRule="auto"/>
        <w:ind w:left="480" w:hanging="480"/>
        <w:rPr>
          <w:rFonts w:ascii="Palatino Linotype" w:hAnsi="Palatino Linotype" w:cs="Times New Roman"/>
          <w:noProof/>
          <w:sz w:val="24"/>
          <w:szCs w:val="24"/>
        </w:rPr>
      </w:pPr>
      <w:r w:rsidRPr="00C55B9C">
        <w:rPr>
          <w:rFonts w:ascii="Palatino Linotype" w:hAnsi="Palatino Linotype" w:cs="Times New Roman"/>
          <w:noProof/>
          <w:sz w:val="24"/>
          <w:szCs w:val="24"/>
        </w:rPr>
        <w:t xml:space="preserve">Suparmin, &amp; Suharto, T. (2013). </w:t>
      </w:r>
      <w:r w:rsidRPr="00C55B9C">
        <w:rPr>
          <w:rFonts w:ascii="Palatino Linotype" w:hAnsi="Palatino Linotype" w:cs="Times New Roman"/>
          <w:i/>
          <w:iCs/>
          <w:noProof/>
          <w:sz w:val="24"/>
          <w:szCs w:val="24"/>
        </w:rPr>
        <w:t>Ayat-Ayat Al-Qur’an Tentang Rumpun Ilmu Agama: Perspektif Epistemologi Integrasi-interkoneksi</w:t>
      </w:r>
      <w:r w:rsidRPr="00C55B9C">
        <w:rPr>
          <w:rFonts w:ascii="Palatino Linotype" w:hAnsi="Palatino Linotype" w:cs="Times New Roman"/>
          <w:noProof/>
          <w:sz w:val="24"/>
          <w:szCs w:val="24"/>
        </w:rPr>
        <w:t xml:space="preserve"> (1st ed.). Surakarta, Jawa tengah: Fataba Press.</w:t>
      </w:r>
    </w:p>
    <w:p w:rsidR="002C1E42" w:rsidRPr="00C55B9C" w:rsidRDefault="002C1E42" w:rsidP="002C1E42">
      <w:pPr>
        <w:widowControl w:val="0"/>
        <w:autoSpaceDE w:val="0"/>
        <w:autoSpaceDN w:val="0"/>
        <w:adjustRightInd w:val="0"/>
        <w:spacing w:line="240" w:lineRule="auto"/>
        <w:ind w:left="480" w:hanging="480"/>
        <w:rPr>
          <w:rFonts w:ascii="Palatino Linotype" w:hAnsi="Palatino Linotype" w:cs="Times New Roman"/>
          <w:noProof/>
          <w:sz w:val="24"/>
          <w:szCs w:val="24"/>
        </w:rPr>
      </w:pPr>
      <w:r w:rsidRPr="00C55B9C">
        <w:rPr>
          <w:rFonts w:ascii="Palatino Linotype" w:hAnsi="Palatino Linotype" w:cs="Times New Roman"/>
          <w:noProof/>
          <w:sz w:val="24"/>
          <w:szCs w:val="24"/>
        </w:rPr>
        <w:t xml:space="preserve">Syarifuddin. (2015). Hermeneutika Khaled Abou El Fadl. </w:t>
      </w:r>
      <w:r w:rsidRPr="00C55B9C">
        <w:rPr>
          <w:rFonts w:ascii="Palatino Linotype" w:hAnsi="Palatino Linotype" w:cs="Times New Roman"/>
          <w:i/>
          <w:iCs/>
          <w:noProof/>
          <w:sz w:val="24"/>
          <w:szCs w:val="24"/>
        </w:rPr>
        <w:t>Jurnal Subtantia</w:t>
      </w:r>
      <w:r w:rsidRPr="00C55B9C">
        <w:rPr>
          <w:rFonts w:ascii="Palatino Linotype" w:hAnsi="Palatino Linotype" w:cs="Times New Roman"/>
          <w:noProof/>
          <w:sz w:val="24"/>
          <w:szCs w:val="24"/>
        </w:rPr>
        <w:t xml:space="preserve">, </w:t>
      </w:r>
      <w:r w:rsidRPr="00C55B9C">
        <w:rPr>
          <w:rFonts w:ascii="Palatino Linotype" w:hAnsi="Palatino Linotype" w:cs="Times New Roman"/>
          <w:i/>
          <w:iCs/>
          <w:noProof/>
          <w:sz w:val="24"/>
          <w:szCs w:val="24"/>
        </w:rPr>
        <w:t>17</w:t>
      </w:r>
      <w:r w:rsidRPr="00C55B9C">
        <w:rPr>
          <w:rFonts w:ascii="Palatino Linotype" w:hAnsi="Palatino Linotype" w:cs="Times New Roman"/>
          <w:noProof/>
          <w:sz w:val="24"/>
          <w:szCs w:val="24"/>
        </w:rPr>
        <w:t>(2), 231–244. Retrieved from https://jurnal.ar-raniry.ac.id/index.php/substantia/article/view/4099</w:t>
      </w:r>
    </w:p>
    <w:p w:rsidR="002C1E42" w:rsidRPr="00C55B9C" w:rsidRDefault="002C1E42" w:rsidP="002C1E42">
      <w:pPr>
        <w:widowControl w:val="0"/>
        <w:autoSpaceDE w:val="0"/>
        <w:autoSpaceDN w:val="0"/>
        <w:adjustRightInd w:val="0"/>
        <w:spacing w:line="240" w:lineRule="auto"/>
        <w:ind w:left="480" w:hanging="480"/>
        <w:rPr>
          <w:rFonts w:ascii="Palatino Linotype" w:hAnsi="Palatino Linotype" w:cs="Times New Roman"/>
          <w:noProof/>
          <w:sz w:val="24"/>
          <w:szCs w:val="24"/>
        </w:rPr>
      </w:pPr>
      <w:r w:rsidRPr="00C55B9C">
        <w:rPr>
          <w:rFonts w:ascii="Palatino Linotype" w:hAnsi="Palatino Linotype" w:cs="Times New Roman"/>
          <w:noProof/>
          <w:sz w:val="24"/>
          <w:szCs w:val="24"/>
        </w:rPr>
        <w:t xml:space="preserve">Tasliyah, N. (2018). Dewan Hisbah Sebagai Lembaga Otoritas Keagamaan PERSIS. </w:t>
      </w:r>
      <w:r w:rsidRPr="00C55B9C">
        <w:rPr>
          <w:rFonts w:ascii="Palatino Linotype" w:hAnsi="Palatino Linotype" w:cs="Times New Roman"/>
          <w:i/>
          <w:iCs/>
          <w:noProof/>
          <w:sz w:val="24"/>
          <w:szCs w:val="24"/>
        </w:rPr>
        <w:t>Istidlal: Jurnal Ekonomi Dan Hukum Islam</w:t>
      </w:r>
      <w:r w:rsidRPr="00C55B9C">
        <w:rPr>
          <w:rFonts w:ascii="Palatino Linotype" w:hAnsi="Palatino Linotype" w:cs="Times New Roman"/>
          <w:noProof/>
          <w:sz w:val="24"/>
          <w:szCs w:val="24"/>
        </w:rPr>
        <w:t xml:space="preserve">, </w:t>
      </w:r>
      <w:r w:rsidRPr="00C55B9C">
        <w:rPr>
          <w:rFonts w:ascii="Palatino Linotype" w:hAnsi="Palatino Linotype" w:cs="Times New Roman"/>
          <w:i/>
          <w:iCs/>
          <w:noProof/>
          <w:sz w:val="24"/>
          <w:szCs w:val="24"/>
        </w:rPr>
        <w:t>2</w:t>
      </w:r>
      <w:r w:rsidRPr="00C55B9C">
        <w:rPr>
          <w:rFonts w:ascii="Palatino Linotype" w:hAnsi="Palatino Linotype" w:cs="Times New Roman"/>
          <w:noProof/>
          <w:sz w:val="24"/>
          <w:szCs w:val="24"/>
        </w:rPr>
        <w:t>(1), 48–59. https://doi.org/https://doi.org/10.35316/istidlal.v2i1.119</w:t>
      </w:r>
    </w:p>
    <w:p w:rsidR="002C1E42" w:rsidRPr="00C55B9C" w:rsidRDefault="002C1E42" w:rsidP="002C1E42">
      <w:pPr>
        <w:widowControl w:val="0"/>
        <w:autoSpaceDE w:val="0"/>
        <w:autoSpaceDN w:val="0"/>
        <w:adjustRightInd w:val="0"/>
        <w:spacing w:line="240" w:lineRule="auto"/>
        <w:ind w:left="480" w:hanging="480"/>
        <w:rPr>
          <w:rFonts w:ascii="Palatino Linotype" w:hAnsi="Palatino Linotype" w:cs="Times New Roman"/>
          <w:noProof/>
          <w:sz w:val="24"/>
          <w:szCs w:val="24"/>
        </w:rPr>
      </w:pPr>
      <w:r w:rsidRPr="00C55B9C">
        <w:rPr>
          <w:rFonts w:ascii="Palatino Linotype" w:hAnsi="Palatino Linotype" w:cs="Times New Roman"/>
          <w:noProof/>
          <w:sz w:val="24"/>
          <w:szCs w:val="24"/>
        </w:rPr>
        <w:t xml:space="preserve">Wahid, S. H. (2019). Dinamika Fatwa dari Klasik ke Kontemporer (Tinjauan Karakteristik Fatwa Ekonomi Syariah Dewan Syariah Nasional Indonesia (DSN-MUI). </w:t>
      </w:r>
      <w:r w:rsidRPr="00C55B9C">
        <w:rPr>
          <w:rFonts w:ascii="Palatino Linotype" w:hAnsi="Palatino Linotype" w:cs="Times New Roman"/>
          <w:i/>
          <w:iCs/>
          <w:noProof/>
          <w:sz w:val="24"/>
          <w:szCs w:val="24"/>
        </w:rPr>
        <w:t>Yudisia</w:t>
      </w:r>
      <w:r w:rsidRPr="00C55B9C">
        <w:rPr>
          <w:rFonts w:ascii="Palatino Linotype" w:hAnsi="Palatino Linotype" w:cs="Times New Roman"/>
          <w:noProof/>
          <w:sz w:val="24"/>
          <w:szCs w:val="24"/>
        </w:rPr>
        <w:t xml:space="preserve">, </w:t>
      </w:r>
      <w:r w:rsidRPr="00C55B9C">
        <w:rPr>
          <w:rFonts w:ascii="Palatino Linotype" w:hAnsi="Palatino Linotype" w:cs="Times New Roman"/>
          <w:i/>
          <w:iCs/>
          <w:noProof/>
          <w:sz w:val="24"/>
          <w:szCs w:val="24"/>
        </w:rPr>
        <w:t>10</w:t>
      </w:r>
      <w:r w:rsidRPr="00C55B9C">
        <w:rPr>
          <w:rFonts w:ascii="Palatino Linotype" w:hAnsi="Palatino Linotype" w:cs="Times New Roman"/>
          <w:noProof/>
          <w:sz w:val="24"/>
          <w:szCs w:val="24"/>
        </w:rPr>
        <w:t>(2), 193–209. Retrieved from https://journal.iainkudus.ac.id/index.php/Yudisia/article/download/5831/pdf.</w:t>
      </w:r>
    </w:p>
    <w:p w:rsidR="002C1E42" w:rsidRPr="00C55B9C" w:rsidRDefault="002C1E42" w:rsidP="002C1E42">
      <w:pPr>
        <w:widowControl w:val="0"/>
        <w:autoSpaceDE w:val="0"/>
        <w:autoSpaceDN w:val="0"/>
        <w:adjustRightInd w:val="0"/>
        <w:spacing w:line="240" w:lineRule="auto"/>
        <w:ind w:left="480" w:hanging="480"/>
        <w:rPr>
          <w:rFonts w:ascii="Palatino Linotype" w:hAnsi="Palatino Linotype" w:cs="Times New Roman"/>
          <w:noProof/>
          <w:sz w:val="24"/>
          <w:szCs w:val="24"/>
        </w:rPr>
      </w:pPr>
      <w:r w:rsidRPr="00C55B9C">
        <w:rPr>
          <w:rFonts w:ascii="Palatino Linotype" w:hAnsi="Palatino Linotype" w:cs="Times New Roman"/>
          <w:noProof/>
          <w:sz w:val="24"/>
          <w:szCs w:val="24"/>
        </w:rPr>
        <w:t xml:space="preserve">Wibowo, N. S. (2017). </w:t>
      </w:r>
      <w:r w:rsidRPr="00C55B9C">
        <w:rPr>
          <w:rFonts w:ascii="Palatino Linotype" w:hAnsi="Palatino Linotype" w:cs="Times New Roman"/>
          <w:i/>
          <w:iCs/>
          <w:noProof/>
          <w:sz w:val="24"/>
          <w:szCs w:val="24"/>
        </w:rPr>
        <w:t>Permasalahan fatwa majelis ulama Indonesia tentang syiah: telaah kritis melalui maqā</w:t>
      </w:r>
      <w:r w:rsidRPr="00C55B9C">
        <w:rPr>
          <w:rFonts w:ascii="Cambria" w:hAnsi="Cambria" w:cs="Cambria"/>
          <w:i/>
          <w:iCs/>
          <w:noProof/>
          <w:sz w:val="24"/>
          <w:szCs w:val="24"/>
        </w:rPr>
        <w:t>ṣ</w:t>
      </w:r>
      <w:r w:rsidRPr="00C55B9C">
        <w:rPr>
          <w:rFonts w:ascii="Palatino Linotype" w:hAnsi="Palatino Linotype" w:cs="Times New Roman"/>
          <w:i/>
          <w:iCs/>
          <w:noProof/>
          <w:sz w:val="24"/>
          <w:szCs w:val="24"/>
        </w:rPr>
        <w:t>id syarī’ah Jasser Auda</w:t>
      </w:r>
      <w:r w:rsidRPr="00C55B9C">
        <w:rPr>
          <w:rFonts w:ascii="Palatino Linotype" w:hAnsi="Palatino Linotype" w:cs="Times New Roman"/>
          <w:noProof/>
          <w:sz w:val="24"/>
          <w:szCs w:val="24"/>
        </w:rPr>
        <w:t xml:space="preserve"> (Universitas Indonesia). Retrieved from https://library.ui.ac.id/detail?id=20469188&amp;lokasi=lokal</w:t>
      </w:r>
    </w:p>
    <w:p w:rsidR="002C1E42" w:rsidRPr="00C55B9C" w:rsidRDefault="002C1E42" w:rsidP="002C1E42">
      <w:pPr>
        <w:widowControl w:val="0"/>
        <w:autoSpaceDE w:val="0"/>
        <w:autoSpaceDN w:val="0"/>
        <w:adjustRightInd w:val="0"/>
        <w:spacing w:line="240" w:lineRule="auto"/>
        <w:ind w:left="480" w:hanging="480"/>
        <w:rPr>
          <w:rFonts w:ascii="Palatino Linotype" w:hAnsi="Palatino Linotype" w:cs="Times New Roman"/>
          <w:noProof/>
          <w:sz w:val="24"/>
        </w:rPr>
      </w:pPr>
      <w:r w:rsidRPr="00C55B9C">
        <w:rPr>
          <w:rFonts w:ascii="Palatino Linotype" w:hAnsi="Palatino Linotype" w:cs="Times New Roman"/>
          <w:noProof/>
          <w:sz w:val="24"/>
          <w:szCs w:val="24"/>
        </w:rPr>
        <w:t xml:space="preserve">Zulkarnaen, I., Musthafa, M. W., Kaswadi, I., Kurniawati, D. A., Rahmadi, F. A., Nurochman, &amp; Pramesti, D. I. (Eds.). (2018). Prosiding Konferensi Integrasi Interkoneksi Islam dan Sain. In </w:t>
      </w:r>
      <w:r w:rsidRPr="00C55B9C">
        <w:rPr>
          <w:rFonts w:ascii="Palatino Linotype" w:hAnsi="Palatino Linotype" w:cs="Times New Roman"/>
          <w:i/>
          <w:iCs/>
          <w:noProof/>
          <w:sz w:val="24"/>
          <w:szCs w:val="24"/>
        </w:rPr>
        <w:t>Konferensi Integrasi Interkoneksi Islam dan Sains, 7 Mei 2018 dengan tema Integrasi Interkoneksi Islam dan Sains di Universitas</w:t>
      </w:r>
      <w:r w:rsidRPr="00C55B9C">
        <w:rPr>
          <w:rFonts w:ascii="Palatino Linotype" w:hAnsi="Palatino Linotype" w:cs="Times New Roman"/>
          <w:noProof/>
          <w:sz w:val="24"/>
          <w:szCs w:val="24"/>
        </w:rPr>
        <w:t>. Retrieved from http://sunankalijaga.org/asset-proceeding/98812570632689881257063268/Sunankalijaga.org - Prosiding KIIIS Vol. 2 Tahun 2020 rev.2.pdf</w:t>
      </w:r>
    </w:p>
    <w:p w:rsidR="00D62A30" w:rsidRPr="00C55B9C" w:rsidRDefault="00D62A30" w:rsidP="00A93EBC">
      <w:pPr>
        <w:spacing w:line="276" w:lineRule="auto"/>
        <w:jc w:val="both"/>
        <w:rPr>
          <w:rFonts w:ascii="Palatino Linotype" w:hAnsi="Palatino Linotype" w:cs="Times New Roman"/>
          <w:sz w:val="24"/>
          <w:szCs w:val="24"/>
        </w:rPr>
      </w:pPr>
      <w:r w:rsidRPr="00C55B9C">
        <w:rPr>
          <w:rFonts w:ascii="Palatino Linotype" w:hAnsi="Palatino Linotype" w:cs="Times New Roman"/>
          <w:sz w:val="24"/>
          <w:szCs w:val="24"/>
        </w:rPr>
        <w:fldChar w:fldCharType="end"/>
      </w:r>
    </w:p>
    <w:sectPr w:rsidR="00D62A30" w:rsidRPr="00C55B9C" w:rsidSect="00694D01">
      <w:headerReference w:type="default" r:id="rId13"/>
      <w:footerReference w:type="default" r:id="rId14"/>
      <w:headerReference w:type="first" r:id="rId15"/>
      <w:endnotePr>
        <w:numFmt w:val="decimal"/>
      </w:endnotePr>
      <w:type w:val="continuous"/>
      <w:pgSz w:w="11907" w:h="16839" w:code="9"/>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755A" w:rsidRDefault="00FC755A" w:rsidP="00640B53">
      <w:pPr>
        <w:spacing w:after="0" w:line="240" w:lineRule="auto"/>
      </w:pPr>
      <w:r>
        <w:separator/>
      </w:r>
    </w:p>
  </w:endnote>
  <w:endnote w:type="continuationSeparator" w:id="0">
    <w:p w:rsidR="00FC755A" w:rsidRDefault="00FC755A" w:rsidP="00640B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Calibri">
    <w:altName w:val="Century Gothic"/>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abondiacriticRoman">
    <w:altName w:val="Times New Roman"/>
    <w:panose1 w:val="00000000000000000000"/>
    <w:charset w:val="00"/>
    <w:family w:val="roman"/>
    <w:notTrueType/>
    <w:pitch w:val="default"/>
  </w:font>
  <w:font w:name="SabondiexPlain">
    <w:altName w:val="Times New 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SimSun">
    <w:altName w:val="ËÎÌå"/>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6268136"/>
      <w:docPartObj>
        <w:docPartGallery w:val="Page Numbers (Bottom of Page)"/>
        <w:docPartUnique/>
      </w:docPartObj>
    </w:sdtPr>
    <w:sdtEndPr>
      <w:rPr>
        <w:noProof/>
      </w:rPr>
    </w:sdtEndPr>
    <w:sdtContent>
      <w:p w:rsidR="00C55B9C" w:rsidRDefault="00C55B9C">
        <w:pPr>
          <w:pStyle w:val="Footer"/>
          <w:jc w:val="center"/>
        </w:pPr>
        <w:r>
          <w:fldChar w:fldCharType="begin"/>
        </w:r>
        <w:r>
          <w:instrText xml:space="preserve"> PAGE   \* MERGEFORMAT </w:instrText>
        </w:r>
        <w:r>
          <w:fldChar w:fldCharType="separate"/>
        </w:r>
        <w:r w:rsidR="00437965">
          <w:rPr>
            <w:noProof/>
          </w:rPr>
          <w:t>17</w:t>
        </w:r>
        <w:r>
          <w:rPr>
            <w:noProof/>
          </w:rPr>
          <w:fldChar w:fldCharType="end"/>
        </w:r>
      </w:p>
    </w:sdtContent>
  </w:sdt>
  <w:p w:rsidR="00C55B9C" w:rsidRDefault="00C55B9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755A" w:rsidRDefault="00FC755A" w:rsidP="00640B53">
      <w:pPr>
        <w:spacing w:after="0" w:line="240" w:lineRule="auto"/>
      </w:pPr>
      <w:r>
        <w:separator/>
      </w:r>
    </w:p>
  </w:footnote>
  <w:footnote w:type="continuationSeparator" w:id="0">
    <w:p w:rsidR="00FC755A" w:rsidRDefault="00FC755A" w:rsidP="00640B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B9C" w:rsidRDefault="00C55B9C">
    <w:pPr>
      <w:pStyle w:val="Header"/>
    </w:pPr>
  </w:p>
  <w:p w:rsidR="00C55B9C" w:rsidRPr="00AA6E1A" w:rsidRDefault="00C55B9C" w:rsidP="00C55B9C">
    <w:pPr>
      <w:pStyle w:val="Header"/>
      <w:tabs>
        <w:tab w:val="left" w:pos="5670"/>
      </w:tabs>
      <w:rPr>
        <w:rFonts w:ascii="Palatino Linotype" w:hAnsi="Palatino Linotype"/>
        <w:sz w:val="20"/>
        <w:szCs w:val="20"/>
      </w:rPr>
    </w:pPr>
    <w:r>
      <w:rPr>
        <w:noProof/>
      </w:rPr>
      <w:drawing>
        <wp:anchor distT="0" distB="0" distL="114300" distR="114300" simplePos="0" relativeHeight="251661312" behindDoc="1" locked="0" layoutInCell="1" allowOverlap="1">
          <wp:simplePos x="0" y="0"/>
          <wp:positionH relativeFrom="column">
            <wp:posOffset>-139065</wp:posOffset>
          </wp:positionH>
          <wp:positionV relativeFrom="paragraph">
            <wp:posOffset>141605</wp:posOffset>
          </wp:positionV>
          <wp:extent cx="2218690" cy="70929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8690" cy="709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5B9C" w:rsidRPr="00AA6E1A" w:rsidRDefault="00C55B9C" w:rsidP="00C55B9C">
    <w:pPr>
      <w:pStyle w:val="Header"/>
      <w:tabs>
        <w:tab w:val="left" w:pos="5670"/>
      </w:tabs>
      <w:rPr>
        <w:rFonts w:ascii="Palatino Linotype" w:hAnsi="Palatino Linotype"/>
        <w:sz w:val="20"/>
        <w:szCs w:val="20"/>
      </w:rPr>
    </w:pPr>
  </w:p>
  <w:p w:rsidR="00C55B9C" w:rsidRPr="00AA6E1A" w:rsidRDefault="00C55B9C" w:rsidP="00C55B9C">
    <w:pPr>
      <w:pStyle w:val="Header"/>
      <w:rPr>
        <w:rFonts w:ascii="Palatino Linotype" w:hAnsi="Palatino Linotype"/>
        <w:sz w:val="20"/>
        <w:szCs w:val="20"/>
      </w:rPr>
    </w:pPr>
  </w:p>
  <w:p w:rsidR="00C55B9C" w:rsidRPr="00C23D0A" w:rsidRDefault="00C55B9C" w:rsidP="00C55B9C">
    <w:pPr>
      <w:pStyle w:val="Header"/>
      <w:jc w:val="right"/>
      <w:rPr>
        <w:rFonts w:ascii="Palatino Linotype" w:hAnsi="Palatino Linotype"/>
        <w:sz w:val="20"/>
        <w:szCs w:val="20"/>
      </w:rPr>
    </w:pPr>
    <w:r w:rsidRPr="00AA6E1A">
      <w:rPr>
        <w:rFonts w:ascii="Palatino Linotype" w:hAnsi="Palatino Linotype"/>
        <w:sz w:val="20"/>
        <w:szCs w:val="20"/>
      </w:rPr>
      <w:tab/>
    </w:r>
    <w:r w:rsidRPr="00AA6E1A">
      <w:rPr>
        <w:rFonts w:ascii="Palatino Linotype" w:hAnsi="Palatino Linotype"/>
        <w:sz w:val="20"/>
        <w:szCs w:val="20"/>
      </w:rPr>
      <w:tab/>
    </w:r>
    <w:r>
      <w:rPr>
        <w:rFonts w:ascii="Palatino Linotype" w:hAnsi="Palatino Linotype"/>
        <w:sz w:val="20"/>
        <w:szCs w:val="20"/>
      </w:rPr>
      <w:t xml:space="preserve"> Volume ..., Nomor</w:t>
    </w:r>
    <w:r w:rsidRPr="00AA6E1A">
      <w:rPr>
        <w:rFonts w:ascii="Palatino Linotype" w:hAnsi="Palatino Linotype"/>
        <w:sz w:val="20"/>
        <w:szCs w:val="20"/>
      </w:rPr>
      <w:t xml:space="preserve"> </w:t>
    </w:r>
    <w:r>
      <w:rPr>
        <w:rFonts w:ascii="Palatino Linotype" w:hAnsi="Palatino Linotype"/>
        <w:sz w:val="20"/>
        <w:szCs w:val="20"/>
      </w:rPr>
      <w:t>02</w:t>
    </w:r>
  </w:p>
  <w:p w:rsidR="00C55B9C" w:rsidRDefault="00C55B9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B9C" w:rsidRDefault="00C55B9C">
    <w:pPr>
      <w:pStyle w:val="Header"/>
    </w:pPr>
  </w:p>
  <w:p w:rsidR="00C55B9C" w:rsidRPr="00A247D9" w:rsidRDefault="00C55B9C" w:rsidP="00C55B9C">
    <w:pPr>
      <w:pStyle w:val="Header"/>
      <w:tabs>
        <w:tab w:val="center" w:leader="dot" w:pos="7371"/>
      </w:tabs>
      <w:rPr>
        <w:rFonts w:ascii="Palatino Linotype" w:hAnsi="Palatino Linotype"/>
        <w:i/>
        <w:iCs/>
        <w:sz w:val="20"/>
        <w:szCs w:val="20"/>
      </w:rPr>
    </w:pPr>
  </w:p>
  <w:p w:rsidR="00C55B9C" w:rsidRPr="00A247D9" w:rsidRDefault="00C55B9C" w:rsidP="00C55B9C">
    <w:pPr>
      <w:pStyle w:val="Header"/>
      <w:tabs>
        <w:tab w:val="center" w:leader="dot" w:pos="7371"/>
      </w:tabs>
      <w:rPr>
        <w:rFonts w:ascii="Palatino Linotype" w:hAnsi="Palatino Linotype"/>
        <w:i/>
        <w:iCs/>
        <w:sz w:val="20"/>
        <w:szCs w:val="20"/>
      </w:rPr>
    </w:pPr>
    <w:r w:rsidRPr="00C55B9C">
      <w:rPr>
        <w:rFonts w:ascii="Palatino Linotype" w:hAnsi="Palatino Linotype"/>
        <w:i/>
        <w:iCs/>
        <w:sz w:val="20"/>
        <w:szCs w:val="20"/>
      </w:rPr>
      <w:t>ULAMA DAN PROBLEM FATWA KONTEMPORER</w:t>
    </w:r>
    <w:r w:rsidRPr="00A247D9">
      <w:rPr>
        <w:rFonts w:ascii="Palatino Linotype" w:hAnsi="Palatino Linotype"/>
        <w:i/>
        <w:iCs/>
        <w:sz w:val="20"/>
        <w:szCs w:val="20"/>
      </w:rPr>
      <w:t xml:space="preserve"> </w:t>
    </w:r>
    <w:r w:rsidRPr="00A247D9">
      <w:rPr>
        <w:rFonts w:ascii="Palatino Linotype" w:hAnsi="Palatino Linotype"/>
        <w:i/>
        <w:iCs/>
        <w:sz w:val="20"/>
        <w:szCs w:val="20"/>
      </w:rPr>
      <w:tab/>
    </w:r>
    <w:r>
      <w:rPr>
        <w:rFonts w:ascii="Palatino Linotype" w:hAnsi="Palatino Linotype"/>
        <w:i/>
        <w:iCs/>
        <w:sz w:val="20"/>
        <w:szCs w:val="20"/>
      </w:rPr>
      <w:t xml:space="preserve"> </w:t>
    </w:r>
    <w:r>
      <w:rPr>
        <w:rFonts w:ascii="Palatino Linotype" w:hAnsi="Palatino Linotype"/>
        <w:i/>
        <w:iCs/>
        <w:sz w:val="20"/>
        <w:szCs w:val="20"/>
      </w:rPr>
      <w:t>Agus Miswanto</w:t>
    </w:r>
  </w:p>
  <w:p w:rsidR="00C55B9C" w:rsidRPr="00A247D9" w:rsidRDefault="00C55B9C" w:rsidP="00C55B9C">
    <w:pPr>
      <w:pStyle w:val="Header"/>
      <w:tabs>
        <w:tab w:val="center" w:leader="dot" w:pos="7371"/>
      </w:tabs>
      <w:rPr>
        <w:rFonts w:ascii="Palatino Linotype" w:hAnsi="Palatino Linotype"/>
        <w:i/>
        <w:iCs/>
        <w:sz w:val="20"/>
        <w:szCs w:val="20"/>
      </w:rPr>
    </w:pPr>
    <w:r>
      <w:rPr>
        <w:noProof/>
      </w:rPr>
      <mc:AlternateContent>
        <mc:Choice Requires="wps">
          <w:drawing>
            <wp:anchor distT="0" distB="0" distL="114300" distR="114300" simplePos="0" relativeHeight="251659264" behindDoc="0" locked="0" layoutInCell="1" allowOverlap="1">
              <wp:simplePos x="0" y="0"/>
              <wp:positionH relativeFrom="column">
                <wp:posOffset>635</wp:posOffset>
              </wp:positionH>
              <wp:positionV relativeFrom="paragraph">
                <wp:posOffset>50165</wp:posOffset>
              </wp:positionV>
              <wp:extent cx="5088890" cy="0"/>
              <wp:effectExtent l="10160" t="12065" r="6350" b="698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88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B45D342" id="_x0000_t32" coordsize="21600,21600" o:spt="32" o:oned="t" path="m,l21600,21600e" filled="f">
              <v:path arrowok="t" fillok="f" o:connecttype="none"/>
              <o:lock v:ext="edit" shapetype="t"/>
            </v:shapetype>
            <v:shape id="Straight Arrow Connector 2" o:spid="_x0000_s1026" type="#_x0000_t32" style="position:absolute;margin-left:.05pt;margin-top:3.95pt;width:400.7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"/>
          </w:pict>
        </mc:Fallback>
      </mc:AlternateContent>
    </w:r>
  </w:p>
  <w:p w:rsidR="00C55B9C" w:rsidRDefault="00C55B9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52798"/>
    <w:multiLevelType w:val="hybridMultilevel"/>
    <w:tmpl w:val="708641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4E3B40"/>
    <w:multiLevelType w:val="hybridMultilevel"/>
    <w:tmpl w:val="E44A6B08"/>
    <w:lvl w:ilvl="0" w:tplc="04090011">
      <w:start w:val="1"/>
      <w:numFmt w:val="decimal"/>
      <w:lvlText w:val="%1)"/>
      <w:lvlJc w:val="left"/>
      <w:pPr>
        <w:tabs>
          <w:tab w:val="num" w:pos="360"/>
        </w:tabs>
        <w:ind w:left="360" w:hanging="360"/>
      </w:pPr>
    </w:lvl>
    <w:lvl w:ilvl="1" w:tplc="9D8438B0" w:tentative="1">
      <w:start w:val="1"/>
      <w:numFmt w:val="decimal"/>
      <w:lvlText w:val="%2."/>
      <w:lvlJc w:val="left"/>
      <w:pPr>
        <w:tabs>
          <w:tab w:val="num" w:pos="1080"/>
        </w:tabs>
        <w:ind w:left="1080" w:hanging="360"/>
      </w:pPr>
    </w:lvl>
    <w:lvl w:ilvl="2" w:tplc="05AC0D7C" w:tentative="1">
      <w:start w:val="1"/>
      <w:numFmt w:val="decimal"/>
      <w:lvlText w:val="%3."/>
      <w:lvlJc w:val="left"/>
      <w:pPr>
        <w:tabs>
          <w:tab w:val="num" w:pos="1800"/>
        </w:tabs>
        <w:ind w:left="1800" w:hanging="360"/>
      </w:pPr>
    </w:lvl>
    <w:lvl w:ilvl="3" w:tplc="B720E07A" w:tentative="1">
      <w:start w:val="1"/>
      <w:numFmt w:val="decimal"/>
      <w:lvlText w:val="%4."/>
      <w:lvlJc w:val="left"/>
      <w:pPr>
        <w:tabs>
          <w:tab w:val="num" w:pos="2520"/>
        </w:tabs>
        <w:ind w:left="2520" w:hanging="360"/>
      </w:pPr>
    </w:lvl>
    <w:lvl w:ilvl="4" w:tplc="61EE6382" w:tentative="1">
      <w:start w:val="1"/>
      <w:numFmt w:val="decimal"/>
      <w:lvlText w:val="%5."/>
      <w:lvlJc w:val="left"/>
      <w:pPr>
        <w:tabs>
          <w:tab w:val="num" w:pos="3240"/>
        </w:tabs>
        <w:ind w:left="3240" w:hanging="360"/>
      </w:pPr>
    </w:lvl>
    <w:lvl w:ilvl="5" w:tplc="FD843C3E" w:tentative="1">
      <w:start w:val="1"/>
      <w:numFmt w:val="decimal"/>
      <w:lvlText w:val="%6."/>
      <w:lvlJc w:val="left"/>
      <w:pPr>
        <w:tabs>
          <w:tab w:val="num" w:pos="3960"/>
        </w:tabs>
        <w:ind w:left="3960" w:hanging="360"/>
      </w:pPr>
    </w:lvl>
    <w:lvl w:ilvl="6" w:tplc="65108B16" w:tentative="1">
      <w:start w:val="1"/>
      <w:numFmt w:val="decimal"/>
      <w:lvlText w:val="%7."/>
      <w:lvlJc w:val="left"/>
      <w:pPr>
        <w:tabs>
          <w:tab w:val="num" w:pos="4680"/>
        </w:tabs>
        <w:ind w:left="4680" w:hanging="360"/>
      </w:pPr>
    </w:lvl>
    <w:lvl w:ilvl="7" w:tplc="3E886166" w:tentative="1">
      <w:start w:val="1"/>
      <w:numFmt w:val="decimal"/>
      <w:lvlText w:val="%8."/>
      <w:lvlJc w:val="left"/>
      <w:pPr>
        <w:tabs>
          <w:tab w:val="num" w:pos="5400"/>
        </w:tabs>
        <w:ind w:left="5400" w:hanging="360"/>
      </w:pPr>
    </w:lvl>
    <w:lvl w:ilvl="8" w:tplc="1130C85E" w:tentative="1">
      <w:start w:val="1"/>
      <w:numFmt w:val="decimal"/>
      <w:lvlText w:val="%9."/>
      <w:lvlJc w:val="left"/>
      <w:pPr>
        <w:tabs>
          <w:tab w:val="num" w:pos="6120"/>
        </w:tabs>
        <w:ind w:left="6120" w:hanging="360"/>
      </w:pPr>
    </w:lvl>
  </w:abstractNum>
  <w:abstractNum w:abstractNumId="2">
    <w:nsid w:val="05AA7678"/>
    <w:multiLevelType w:val="hybridMultilevel"/>
    <w:tmpl w:val="34F29118"/>
    <w:lvl w:ilvl="0" w:tplc="D5FCE2FA">
      <w:start w:val="1"/>
      <w:numFmt w:val="bullet"/>
      <w:lvlText w:val="•"/>
      <w:lvlJc w:val="left"/>
      <w:pPr>
        <w:tabs>
          <w:tab w:val="num" w:pos="720"/>
        </w:tabs>
        <w:ind w:left="720" w:hanging="360"/>
      </w:pPr>
      <w:rPr>
        <w:rFonts w:ascii="Arial" w:hAnsi="Arial" w:hint="default"/>
      </w:rPr>
    </w:lvl>
    <w:lvl w:ilvl="1" w:tplc="23AE1FA2">
      <w:numFmt w:val="bullet"/>
      <w:lvlText w:val="•"/>
      <w:lvlJc w:val="left"/>
      <w:pPr>
        <w:tabs>
          <w:tab w:val="num" w:pos="1440"/>
        </w:tabs>
        <w:ind w:left="1440" w:hanging="360"/>
      </w:pPr>
      <w:rPr>
        <w:rFonts w:ascii="Arial" w:hAnsi="Arial" w:hint="default"/>
      </w:rPr>
    </w:lvl>
    <w:lvl w:ilvl="2" w:tplc="CCB26354" w:tentative="1">
      <w:start w:val="1"/>
      <w:numFmt w:val="bullet"/>
      <w:lvlText w:val="•"/>
      <w:lvlJc w:val="left"/>
      <w:pPr>
        <w:tabs>
          <w:tab w:val="num" w:pos="2160"/>
        </w:tabs>
        <w:ind w:left="2160" w:hanging="360"/>
      </w:pPr>
      <w:rPr>
        <w:rFonts w:ascii="Arial" w:hAnsi="Arial" w:hint="default"/>
      </w:rPr>
    </w:lvl>
    <w:lvl w:ilvl="3" w:tplc="2D4630EC" w:tentative="1">
      <w:start w:val="1"/>
      <w:numFmt w:val="bullet"/>
      <w:lvlText w:val="•"/>
      <w:lvlJc w:val="left"/>
      <w:pPr>
        <w:tabs>
          <w:tab w:val="num" w:pos="2880"/>
        </w:tabs>
        <w:ind w:left="2880" w:hanging="360"/>
      </w:pPr>
      <w:rPr>
        <w:rFonts w:ascii="Arial" w:hAnsi="Arial" w:hint="default"/>
      </w:rPr>
    </w:lvl>
    <w:lvl w:ilvl="4" w:tplc="1B829E90" w:tentative="1">
      <w:start w:val="1"/>
      <w:numFmt w:val="bullet"/>
      <w:lvlText w:val="•"/>
      <w:lvlJc w:val="left"/>
      <w:pPr>
        <w:tabs>
          <w:tab w:val="num" w:pos="3600"/>
        </w:tabs>
        <w:ind w:left="3600" w:hanging="360"/>
      </w:pPr>
      <w:rPr>
        <w:rFonts w:ascii="Arial" w:hAnsi="Arial" w:hint="default"/>
      </w:rPr>
    </w:lvl>
    <w:lvl w:ilvl="5" w:tplc="6D28389C" w:tentative="1">
      <w:start w:val="1"/>
      <w:numFmt w:val="bullet"/>
      <w:lvlText w:val="•"/>
      <w:lvlJc w:val="left"/>
      <w:pPr>
        <w:tabs>
          <w:tab w:val="num" w:pos="4320"/>
        </w:tabs>
        <w:ind w:left="4320" w:hanging="360"/>
      </w:pPr>
      <w:rPr>
        <w:rFonts w:ascii="Arial" w:hAnsi="Arial" w:hint="default"/>
      </w:rPr>
    </w:lvl>
    <w:lvl w:ilvl="6" w:tplc="3904A262" w:tentative="1">
      <w:start w:val="1"/>
      <w:numFmt w:val="bullet"/>
      <w:lvlText w:val="•"/>
      <w:lvlJc w:val="left"/>
      <w:pPr>
        <w:tabs>
          <w:tab w:val="num" w:pos="5040"/>
        </w:tabs>
        <w:ind w:left="5040" w:hanging="360"/>
      </w:pPr>
      <w:rPr>
        <w:rFonts w:ascii="Arial" w:hAnsi="Arial" w:hint="default"/>
      </w:rPr>
    </w:lvl>
    <w:lvl w:ilvl="7" w:tplc="074E9046" w:tentative="1">
      <w:start w:val="1"/>
      <w:numFmt w:val="bullet"/>
      <w:lvlText w:val="•"/>
      <w:lvlJc w:val="left"/>
      <w:pPr>
        <w:tabs>
          <w:tab w:val="num" w:pos="5760"/>
        </w:tabs>
        <w:ind w:left="5760" w:hanging="360"/>
      </w:pPr>
      <w:rPr>
        <w:rFonts w:ascii="Arial" w:hAnsi="Arial" w:hint="default"/>
      </w:rPr>
    </w:lvl>
    <w:lvl w:ilvl="8" w:tplc="53DA6C36" w:tentative="1">
      <w:start w:val="1"/>
      <w:numFmt w:val="bullet"/>
      <w:lvlText w:val="•"/>
      <w:lvlJc w:val="left"/>
      <w:pPr>
        <w:tabs>
          <w:tab w:val="num" w:pos="6480"/>
        </w:tabs>
        <w:ind w:left="6480" w:hanging="360"/>
      </w:pPr>
      <w:rPr>
        <w:rFonts w:ascii="Arial" w:hAnsi="Arial" w:hint="default"/>
      </w:rPr>
    </w:lvl>
  </w:abstractNum>
  <w:abstractNum w:abstractNumId="3">
    <w:nsid w:val="11187A61"/>
    <w:multiLevelType w:val="hybridMultilevel"/>
    <w:tmpl w:val="90DA6A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76C0916"/>
    <w:multiLevelType w:val="hybridMultilevel"/>
    <w:tmpl w:val="8D6A8F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FDA0589"/>
    <w:multiLevelType w:val="hybridMultilevel"/>
    <w:tmpl w:val="BEC6243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33DF3EFA"/>
    <w:multiLevelType w:val="hybridMultilevel"/>
    <w:tmpl w:val="10CCD2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5400639"/>
    <w:multiLevelType w:val="hybridMultilevel"/>
    <w:tmpl w:val="E9341C0A"/>
    <w:lvl w:ilvl="0" w:tplc="316A2B20">
      <w:start w:val="1"/>
      <w:numFmt w:val="decimal"/>
      <w:lvlText w:val="%1."/>
      <w:lvlJc w:val="left"/>
      <w:pPr>
        <w:tabs>
          <w:tab w:val="num" w:pos="720"/>
        </w:tabs>
        <w:ind w:left="720" w:hanging="360"/>
      </w:pPr>
    </w:lvl>
    <w:lvl w:ilvl="1" w:tplc="D0805504" w:tentative="1">
      <w:start w:val="1"/>
      <w:numFmt w:val="decimal"/>
      <w:lvlText w:val="%2."/>
      <w:lvlJc w:val="left"/>
      <w:pPr>
        <w:tabs>
          <w:tab w:val="num" w:pos="1440"/>
        </w:tabs>
        <w:ind w:left="1440" w:hanging="360"/>
      </w:pPr>
    </w:lvl>
    <w:lvl w:ilvl="2" w:tplc="E8C0A118" w:tentative="1">
      <w:start w:val="1"/>
      <w:numFmt w:val="decimal"/>
      <w:lvlText w:val="%3."/>
      <w:lvlJc w:val="left"/>
      <w:pPr>
        <w:tabs>
          <w:tab w:val="num" w:pos="2160"/>
        </w:tabs>
        <w:ind w:left="2160" w:hanging="360"/>
      </w:pPr>
    </w:lvl>
    <w:lvl w:ilvl="3" w:tplc="933C0498" w:tentative="1">
      <w:start w:val="1"/>
      <w:numFmt w:val="decimal"/>
      <w:lvlText w:val="%4."/>
      <w:lvlJc w:val="left"/>
      <w:pPr>
        <w:tabs>
          <w:tab w:val="num" w:pos="2880"/>
        </w:tabs>
        <w:ind w:left="2880" w:hanging="360"/>
      </w:pPr>
    </w:lvl>
    <w:lvl w:ilvl="4" w:tplc="B746AEEA" w:tentative="1">
      <w:start w:val="1"/>
      <w:numFmt w:val="decimal"/>
      <w:lvlText w:val="%5."/>
      <w:lvlJc w:val="left"/>
      <w:pPr>
        <w:tabs>
          <w:tab w:val="num" w:pos="3600"/>
        </w:tabs>
        <w:ind w:left="3600" w:hanging="360"/>
      </w:pPr>
    </w:lvl>
    <w:lvl w:ilvl="5" w:tplc="C3203672" w:tentative="1">
      <w:start w:val="1"/>
      <w:numFmt w:val="decimal"/>
      <w:lvlText w:val="%6."/>
      <w:lvlJc w:val="left"/>
      <w:pPr>
        <w:tabs>
          <w:tab w:val="num" w:pos="4320"/>
        </w:tabs>
        <w:ind w:left="4320" w:hanging="360"/>
      </w:pPr>
    </w:lvl>
    <w:lvl w:ilvl="6" w:tplc="FD6CB7D4" w:tentative="1">
      <w:start w:val="1"/>
      <w:numFmt w:val="decimal"/>
      <w:lvlText w:val="%7."/>
      <w:lvlJc w:val="left"/>
      <w:pPr>
        <w:tabs>
          <w:tab w:val="num" w:pos="5040"/>
        </w:tabs>
        <w:ind w:left="5040" w:hanging="360"/>
      </w:pPr>
    </w:lvl>
    <w:lvl w:ilvl="7" w:tplc="D834DC18" w:tentative="1">
      <w:start w:val="1"/>
      <w:numFmt w:val="decimal"/>
      <w:lvlText w:val="%8."/>
      <w:lvlJc w:val="left"/>
      <w:pPr>
        <w:tabs>
          <w:tab w:val="num" w:pos="5760"/>
        </w:tabs>
        <w:ind w:left="5760" w:hanging="360"/>
      </w:pPr>
    </w:lvl>
    <w:lvl w:ilvl="8" w:tplc="087A9F42" w:tentative="1">
      <w:start w:val="1"/>
      <w:numFmt w:val="decimal"/>
      <w:lvlText w:val="%9."/>
      <w:lvlJc w:val="left"/>
      <w:pPr>
        <w:tabs>
          <w:tab w:val="num" w:pos="6480"/>
        </w:tabs>
        <w:ind w:left="6480" w:hanging="360"/>
      </w:pPr>
    </w:lvl>
  </w:abstractNum>
  <w:abstractNum w:abstractNumId="8">
    <w:nsid w:val="3BD47F81"/>
    <w:multiLevelType w:val="hybridMultilevel"/>
    <w:tmpl w:val="7BD080C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BEC1DA7"/>
    <w:multiLevelType w:val="hybridMultilevel"/>
    <w:tmpl w:val="B1AEE7CE"/>
    <w:lvl w:ilvl="0" w:tplc="78FCCDB0">
      <w:start w:val="1"/>
      <w:numFmt w:val="decimal"/>
      <w:lvlText w:val="%1."/>
      <w:lvlJc w:val="left"/>
      <w:pPr>
        <w:tabs>
          <w:tab w:val="num" w:pos="720"/>
        </w:tabs>
        <w:ind w:left="720" w:hanging="360"/>
      </w:pPr>
    </w:lvl>
    <w:lvl w:ilvl="1" w:tplc="60CCF4E4" w:tentative="1">
      <w:start w:val="1"/>
      <w:numFmt w:val="decimal"/>
      <w:lvlText w:val="%2."/>
      <w:lvlJc w:val="left"/>
      <w:pPr>
        <w:tabs>
          <w:tab w:val="num" w:pos="1440"/>
        </w:tabs>
        <w:ind w:left="1440" w:hanging="360"/>
      </w:pPr>
    </w:lvl>
    <w:lvl w:ilvl="2" w:tplc="75D849A4" w:tentative="1">
      <w:start w:val="1"/>
      <w:numFmt w:val="decimal"/>
      <w:lvlText w:val="%3."/>
      <w:lvlJc w:val="left"/>
      <w:pPr>
        <w:tabs>
          <w:tab w:val="num" w:pos="2160"/>
        </w:tabs>
        <w:ind w:left="2160" w:hanging="360"/>
      </w:pPr>
    </w:lvl>
    <w:lvl w:ilvl="3" w:tplc="75827D8C" w:tentative="1">
      <w:start w:val="1"/>
      <w:numFmt w:val="decimal"/>
      <w:lvlText w:val="%4."/>
      <w:lvlJc w:val="left"/>
      <w:pPr>
        <w:tabs>
          <w:tab w:val="num" w:pos="2880"/>
        </w:tabs>
        <w:ind w:left="2880" w:hanging="360"/>
      </w:pPr>
    </w:lvl>
    <w:lvl w:ilvl="4" w:tplc="017400E4" w:tentative="1">
      <w:start w:val="1"/>
      <w:numFmt w:val="decimal"/>
      <w:lvlText w:val="%5."/>
      <w:lvlJc w:val="left"/>
      <w:pPr>
        <w:tabs>
          <w:tab w:val="num" w:pos="3600"/>
        </w:tabs>
        <w:ind w:left="3600" w:hanging="360"/>
      </w:pPr>
    </w:lvl>
    <w:lvl w:ilvl="5" w:tplc="84AAE50E" w:tentative="1">
      <w:start w:val="1"/>
      <w:numFmt w:val="decimal"/>
      <w:lvlText w:val="%6."/>
      <w:lvlJc w:val="left"/>
      <w:pPr>
        <w:tabs>
          <w:tab w:val="num" w:pos="4320"/>
        </w:tabs>
        <w:ind w:left="4320" w:hanging="360"/>
      </w:pPr>
    </w:lvl>
    <w:lvl w:ilvl="6" w:tplc="FBF6D1F2" w:tentative="1">
      <w:start w:val="1"/>
      <w:numFmt w:val="decimal"/>
      <w:lvlText w:val="%7."/>
      <w:lvlJc w:val="left"/>
      <w:pPr>
        <w:tabs>
          <w:tab w:val="num" w:pos="5040"/>
        </w:tabs>
        <w:ind w:left="5040" w:hanging="360"/>
      </w:pPr>
    </w:lvl>
    <w:lvl w:ilvl="7" w:tplc="C270BE06" w:tentative="1">
      <w:start w:val="1"/>
      <w:numFmt w:val="decimal"/>
      <w:lvlText w:val="%8."/>
      <w:lvlJc w:val="left"/>
      <w:pPr>
        <w:tabs>
          <w:tab w:val="num" w:pos="5760"/>
        </w:tabs>
        <w:ind w:left="5760" w:hanging="360"/>
      </w:pPr>
    </w:lvl>
    <w:lvl w:ilvl="8" w:tplc="7EF63058" w:tentative="1">
      <w:start w:val="1"/>
      <w:numFmt w:val="decimal"/>
      <w:lvlText w:val="%9."/>
      <w:lvlJc w:val="left"/>
      <w:pPr>
        <w:tabs>
          <w:tab w:val="num" w:pos="6480"/>
        </w:tabs>
        <w:ind w:left="6480" w:hanging="360"/>
      </w:pPr>
    </w:lvl>
  </w:abstractNum>
  <w:abstractNum w:abstractNumId="10">
    <w:nsid w:val="4AE91E68"/>
    <w:multiLevelType w:val="hybridMultilevel"/>
    <w:tmpl w:val="62D26EE0"/>
    <w:lvl w:ilvl="0" w:tplc="E9947B62">
      <w:start w:val="1"/>
      <w:numFmt w:val="bullet"/>
      <w:lvlText w:val="•"/>
      <w:lvlJc w:val="left"/>
      <w:pPr>
        <w:tabs>
          <w:tab w:val="num" w:pos="720"/>
        </w:tabs>
        <w:ind w:left="720" w:hanging="360"/>
      </w:pPr>
      <w:rPr>
        <w:rFonts w:ascii="Arial" w:hAnsi="Arial" w:hint="default"/>
      </w:rPr>
    </w:lvl>
    <w:lvl w:ilvl="1" w:tplc="E4BA3A18" w:tentative="1">
      <w:start w:val="1"/>
      <w:numFmt w:val="bullet"/>
      <w:lvlText w:val="•"/>
      <w:lvlJc w:val="left"/>
      <w:pPr>
        <w:tabs>
          <w:tab w:val="num" w:pos="1440"/>
        </w:tabs>
        <w:ind w:left="1440" w:hanging="360"/>
      </w:pPr>
      <w:rPr>
        <w:rFonts w:ascii="Arial" w:hAnsi="Arial" w:hint="default"/>
      </w:rPr>
    </w:lvl>
    <w:lvl w:ilvl="2" w:tplc="0218900A" w:tentative="1">
      <w:start w:val="1"/>
      <w:numFmt w:val="bullet"/>
      <w:lvlText w:val="•"/>
      <w:lvlJc w:val="left"/>
      <w:pPr>
        <w:tabs>
          <w:tab w:val="num" w:pos="2160"/>
        </w:tabs>
        <w:ind w:left="2160" w:hanging="360"/>
      </w:pPr>
      <w:rPr>
        <w:rFonts w:ascii="Arial" w:hAnsi="Arial" w:hint="default"/>
      </w:rPr>
    </w:lvl>
    <w:lvl w:ilvl="3" w:tplc="4D902752" w:tentative="1">
      <w:start w:val="1"/>
      <w:numFmt w:val="bullet"/>
      <w:lvlText w:val="•"/>
      <w:lvlJc w:val="left"/>
      <w:pPr>
        <w:tabs>
          <w:tab w:val="num" w:pos="2880"/>
        </w:tabs>
        <w:ind w:left="2880" w:hanging="360"/>
      </w:pPr>
      <w:rPr>
        <w:rFonts w:ascii="Arial" w:hAnsi="Arial" w:hint="default"/>
      </w:rPr>
    </w:lvl>
    <w:lvl w:ilvl="4" w:tplc="ECCC124C" w:tentative="1">
      <w:start w:val="1"/>
      <w:numFmt w:val="bullet"/>
      <w:lvlText w:val="•"/>
      <w:lvlJc w:val="left"/>
      <w:pPr>
        <w:tabs>
          <w:tab w:val="num" w:pos="3600"/>
        </w:tabs>
        <w:ind w:left="3600" w:hanging="360"/>
      </w:pPr>
      <w:rPr>
        <w:rFonts w:ascii="Arial" w:hAnsi="Arial" w:hint="default"/>
      </w:rPr>
    </w:lvl>
    <w:lvl w:ilvl="5" w:tplc="3A58BF32" w:tentative="1">
      <w:start w:val="1"/>
      <w:numFmt w:val="bullet"/>
      <w:lvlText w:val="•"/>
      <w:lvlJc w:val="left"/>
      <w:pPr>
        <w:tabs>
          <w:tab w:val="num" w:pos="4320"/>
        </w:tabs>
        <w:ind w:left="4320" w:hanging="360"/>
      </w:pPr>
      <w:rPr>
        <w:rFonts w:ascii="Arial" w:hAnsi="Arial" w:hint="default"/>
      </w:rPr>
    </w:lvl>
    <w:lvl w:ilvl="6" w:tplc="54FA4EB4" w:tentative="1">
      <w:start w:val="1"/>
      <w:numFmt w:val="bullet"/>
      <w:lvlText w:val="•"/>
      <w:lvlJc w:val="left"/>
      <w:pPr>
        <w:tabs>
          <w:tab w:val="num" w:pos="5040"/>
        </w:tabs>
        <w:ind w:left="5040" w:hanging="360"/>
      </w:pPr>
      <w:rPr>
        <w:rFonts w:ascii="Arial" w:hAnsi="Arial" w:hint="default"/>
      </w:rPr>
    </w:lvl>
    <w:lvl w:ilvl="7" w:tplc="D67C0964" w:tentative="1">
      <w:start w:val="1"/>
      <w:numFmt w:val="bullet"/>
      <w:lvlText w:val="•"/>
      <w:lvlJc w:val="left"/>
      <w:pPr>
        <w:tabs>
          <w:tab w:val="num" w:pos="5760"/>
        </w:tabs>
        <w:ind w:left="5760" w:hanging="360"/>
      </w:pPr>
      <w:rPr>
        <w:rFonts w:ascii="Arial" w:hAnsi="Arial" w:hint="default"/>
      </w:rPr>
    </w:lvl>
    <w:lvl w:ilvl="8" w:tplc="B77219C4" w:tentative="1">
      <w:start w:val="1"/>
      <w:numFmt w:val="bullet"/>
      <w:lvlText w:val="•"/>
      <w:lvlJc w:val="left"/>
      <w:pPr>
        <w:tabs>
          <w:tab w:val="num" w:pos="6480"/>
        </w:tabs>
        <w:ind w:left="6480" w:hanging="360"/>
      </w:pPr>
      <w:rPr>
        <w:rFonts w:ascii="Arial" w:hAnsi="Arial" w:hint="default"/>
      </w:rPr>
    </w:lvl>
  </w:abstractNum>
  <w:abstractNum w:abstractNumId="11">
    <w:nsid w:val="4E543107"/>
    <w:multiLevelType w:val="hybridMultilevel"/>
    <w:tmpl w:val="50345A5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50F917BE"/>
    <w:multiLevelType w:val="hybridMultilevel"/>
    <w:tmpl w:val="1AB861C6"/>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5679199C"/>
    <w:multiLevelType w:val="hybridMultilevel"/>
    <w:tmpl w:val="6E867EA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AC878F5"/>
    <w:multiLevelType w:val="hybridMultilevel"/>
    <w:tmpl w:val="2F5AE996"/>
    <w:lvl w:ilvl="0" w:tplc="CB44A6C6">
      <w:start w:val="1"/>
      <w:numFmt w:val="bullet"/>
      <w:lvlText w:val="•"/>
      <w:lvlJc w:val="left"/>
      <w:pPr>
        <w:tabs>
          <w:tab w:val="num" w:pos="720"/>
        </w:tabs>
        <w:ind w:left="720" w:hanging="360"/>
      </w:pPr>
      <w:rPr>
        <w:rFonts w:ascii="Arial" w:hAnsi="Arial" w:hint="default"/>
      </w:rPr>
    </w:lvl>
    <w:lvl w:ilvl="1" w:tplc="74BE39A6">
      <w:numFmt w:val="bullet"/>
      <w:lvlText w:val="•"/>
      <w:lvlJc w:val="left"/>
      <w:pPr>
        <w:tabs>
          <w:tab w:val="num" w:pos="1440"/>
        </w:tabs>
        <w:ind w:left="1440" w:hanging="360"/>
      </w:pPr>
      <w:rPr>
        <w:rFonts w:ascii="Arial" w:hAnsi="Arial" w:hint="default"/>
      </w:rPr>
    </w:lvl>
    <w:lvl w:ilvl="2" w:tplc="08FC1A80" w:tentative="1">
      <w:start w:val="1"/>
      <w:numFmt w:val="bullet"/>
      <w:lvlText w:val="•"/>
      <w:lvlJc w:val="left"/>
      <w:pPr>
        <w:tabs>
          <w:tab w:val="num" w:pos="2160"/>
        </w:tabs>
        <w:ind w:left="2160" w:hanging="360"/>
      </w:pPr>
      <w:rPr>
        <w:rFonts w:ascii="Arial" w:hAnsi="Arial" w:hint="default"/>
      </w:rPr>
    </w:lvl>
    <w:lvl w:ilvl="3" w:tplc="F6582A2A" w:tentative="1">
      <w:start w:val="1"/>
      <w:numFmt w:val="bullet"/>
      <w:lvlText w:val="•"/>
      <w:lvlJc w:val="left"/>
      <w:pPr>
        <w:tabs>
          <w:tab w:val="num" w:pos="2880"/>
        </w:tabs>
        <w:ind w:left="2880" w:hanging="360"/>
      </w:pPr>
      <w:rPr>
        <w:rFonts w:ascii="Arial" w:hAnsi="Arial" w:hint="default"/>
      </w:rPr>
    </w:lvl>
    <w:lvl w:ilvl="4" w:tplc="FAC27F14" w:tentative="1">
      <w:start w:val="1"/>
      <w:numFmt w:val="bullet"/>
      <w:lvlText w:val="•"/>
      <w:lvlJc w:val="left"/>
      <w:pPr>
        <w:tabs>
          <w:tab w:val="num" w:pos="3600"/>
        </w:tabs>
        <w:ind w:left="3600" w:hanging="360"/>
      </w:pPr>
      <w:rPr>
        <w:rFonts w:ascii="Arial" w:hAnsi="Arial" w:hint="default"/>
      </w:rPr>
    </w:lvl>
    <w:lvl w:ilvl="5" w:tplc="AA643C76" w:tentative="1">
      <w:start w:val="1"/>
      <w:numFmt w:val="bullet"/>
      <w:lvlText w:val="•"/>
      <w:lvlJc w:val="left"/>
      <w:pPr>
        <w:tabs>
          <w:tab w:val="num" w:pos="4320"/>
        </w:tabs>
        <w:ind w:left="4320" w:hanging="360"/>
      </w:pPr>
      <w:rPr>
        <w:rFonts w:ascii="Arial" w:hAnsi="Arial" w:hint="default"/>
      </w:rPr>
    </w:lvl>
    <w:lvl w:ilvl="6" w:tplc="C57E2390" w:tentative="1">
      <w:start w:val="1"/>
      <w:numFmt w:val="bullet"/>
      <w:lvlText w:val="•"/>
      <w:lvlJc w:val="left"/>
      <w:pPr>
        <w:tabs>
          <w:tab w:val="num" w:pos="5040"/>
        </w:tabs>
        <w:ind w:left="5040" w:hanging="360"/>
      </w:pPr>
      <w:rPr>
        <w:rFonts w:ascii="Arial" w:hAnsi="Arial" w:hint="default"/>
      </w:rPr>
    </w:lvl>
    <w:lvl w:ilvl="7" w:tplc="C778C050" w:tentative="1">
      <w:start w:val="1"/>
      <w:numFmt w:val="bullet"/>
      <w:lvlText w:val="•"/>
      <w:lvlJc w:val="left"/>
      <w:pPr>
        <w:tabs>
          <w:tab w:val="num" w:pos="5760"/>
        </w:tabs>
        <w:ind w:left="5760" w:hanging="360"/>
      </w:pPr>
      <w:rPr>
        <w:rFonts w:ascii="Arial" w:hAnsi="Arial" w:hint="default"/>
      </w:rPr>
    </w:lvl>
    <w:lvl w:ilvl="8" w:tplc="46EAF76A" w:tentative="1">
      <w:start w:val="1"/>
      <w:numFmt w:val="bullet"/>
      <w:lvlText w:val="•"/>
      <w:lvlJc w:val="left"/>
      <w:pPr>
        <w:tabs>
          <w:tab w:val="num" w:pos="6480"/>
        </w:tabs>
        <w:ind w:left="6480" w:hanging="360"/>
      </w:pPr>
      <w:rPr>
        <w:rFonts w:ascii="Arial" w:hAnsi="Arial" w:hint="default"/>
      </w:rPr>
    </w:lvl>
  </w:abstractNum>
  <w:abstractNum w:abstractNumId="15">
    <w:nsid w:val="6CE56982"/>
    <w:multiLevelType w:val="hybridMultilevel"/>
    <w:tmpl w:val="E702ECAE"/>
    <w:lvl w:ilvl="0" w:tplc="8E108C24">
      <w:start w:val="1"/>
      <w:numFmt w:val="decimal"/>
      <w:lvlText w:val="%1."/>
      <w:lvlJc w:val="left"/>
      <w:pPr>
        <w:tabs>
          <w:tab w:val="num" w:pos="720"/>
        </w:tabs>
        <w:ind w:left="720" w:hanging="360"/>
      </w:pPr>
    </w:lvl>
    <w:lvl w:ilvl="1" w:tplc="D7F2DB4A" w:tentative="1">
      <w:start w:val="1"/>
      <w:numFmt w:val="decimal"/>
      <w:lvlText w:val="%2."/>
      <w:lvlJc w:val="left"/>
      <w:pPr>
        <w:tabs>
          <w:tab w:val="num" w:pos="1440"/>
        </w:tabs>
        <w:ind w:left="1440" w:hanging="360"/>
      </w:pPr>
    </w:lvl>
    <w:lvl w:ilvl="2" w:tplc="4D72698E" w:tentative="1">
      <w:start w:val="1"/>
      <w:numFmt w:val="decimal"/>
      <w:lvlText w:val="%3."/>
      <w:lvlJc w:val="left"/>
      <w:pPr>
        <w:tabs>
          <w:tab w:val="num" w:pos="2160"/>
        </w:tabs>
        <w:ind w:left="2160" w:hanging="360"/>
      </w:pPr>
    </w:lvl>
    <w:lvl w:ilvl="3" w:tplc="0E149854" w:tentative="1">
      <w:start w:val="1"/>
      <w:numFmt w:val="decimal"/>
      <w:lvlText w:val="%4."/>
      <w:lvlJc w:val="left"/>
      <w:pPr>
        <w:tabs>
          <w:tab w:val="num" w:pos="2880"/>
        </w:tabs>
        <w:ind w:left="2880" w:hanging="360"/>
      </w:pPr>
    </w:lvl>
    <w:lvl w:ilvl="4" w:tplc="3C3A062E" w:tentative="1">
      <w:start w:val="1"/>
      <w:numFmt w:val="decimal"/>
      <w:lvlText w:val="%5."/>
      <w:lvlJc w:val="left"/>
      <w:pPr>
        <w:tabs>
          <w:tab w:val="num" w:pos="3600"/>
        </w:tabs>
        <w:ind w:left="3600" w:hanging="360"/>
      </w:pPr>
    </w:lvl>
    <w:lvl w:ilvl="5" w:tplc="5AE8E656" w:tentative="1">
      <w:start w:val="1"/>
      <w:numFmt w:val="decimal"/>
      <w:lvlText w:val="%6."/>
      <w:lvlJc w:val="left"/>
      <w:pPr>
        <w:tabs>
          <w:tab w:val="num" w:pos="4320"/>
        </w:tabs>
        <w:ind w:left="4320" w:hanging="360"/>
      </w:pPr>
    </w:lvl>
    <w:lvl w:ilvl="6" w:tplc="2FD2D0AE" w:tentative="1">
      <w:start w:val="1"/>
      <w:numFmt w:val="decimal"/>
      <w:lvlText w:val="%7."/>
      <w:lvlJc w:val="left"/>
      <w:pPr>
        <w:tabs>
          <w:tab w:val="num" w:pos="5040"/>
        </w:tabs>
        <w:ind w:left="5040" w:hanging="360"/>
      </w:pPr>
    </w:lvl>
    <w:lvl w:ilvl="7" w:tplc="2E3C1E0A" w:tentative="1">
      <w:start w:val="1"/>
      <w:numFmt w:val="decimal"/>
      <w:lvlText w:val="%8."/>
      <w:lvlJc w:val="left"/>
      <w:pPr>
        <w:tabs>
          <w:tab w:val="num" w:pos="5760"/>
        </w:tabs>
        <w:ind w:left="5760" w:hanging="360"/>
      </w:pPr>
    </w:lvl>
    <w:lvl w:ilvl="8" w:tplc="AE9651B0" w:tentative="1">
      <w:start w:val="1"/>
      <w:numFmt w:val="decimal"/>
      <w:lvlText w:val="%9."/>
      <w:lvlJc w:val="left"/>
      <w:pPr>
        <w:tabs>
          <w:tab w:val="num" w:pos="6480"/>
        </w:tabs>
        <w:ind w:left="6480" w:hanging="360"/>
      </w:pPr>
    </w:lvl>
  </w:abstractNum>
  <w:num w:numId="1">
    <w:abstractNumId w:val="13"/>
  </w:num>
  <w:num w:numId="2">
    <w:abstractNumId w:val="12"/>
  </w:num>
  <w:num w:numId="3">
    <w:abstractNumId w:val="10"/>
  </w:num>
  <w:num w:numId="4">
    <w:abstractNumId w:val="1"/>
  </w:num>
  <w:num w:numId="5">
    <w:abstractNumId w:val="9"/>
  </w:num>
  <w:num w:numId="6">
    <w:abstractNumId w:val="15"/>
  </w:num>
  <w:num w:numId="7">
    <w:abstractNumId w:val="7"/>
  </w:num>
  <w:num w:numId="8">
    <w:abstractNumId w:val="14"/>
  </w:num>
  <w:num w:numId="9">
    <w:abstractNumId w:val="2"/>
  </w:num>
  <w:num w:numId="10">
    <w:abstractNumId w:val="8"/>
  </w:num>
  <w:num w:numId="11">
    <w:abstractNumId w:val="4"/>
  </w:num>
  <w:num w:numId="12">
    <w:abstractNumId w:val="3"/>
  </w:num>
  <w:num w:numId="13">
    <w:abstractNumId w:val="0"/>
  </w:num>
  <w:num w:numId="14">
    <w:abstractNumId w:val="6"/>
  </w:num>
  <w:num w:numId="15">
    <w:abstractNumId w:val="5"/>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0B53"/>
    <w:rsid w:val="00000710"/>
    <w:rsid w:val="00001A5F"/>
    <w:rsid w:val="00003E9B"/>
    <w:rsid w:val="00015D72"/>
    <w:rsid w:val="00016BF7"/>
    <w:rsid w:val="00021A38"/>
    <w:rsid w:val="00030E00"/>
    <w:rsid w:val="0003672D"/>
    <w:rsid w:val="00044D77"/>
    <w:rsid w:val="00057A81"/>
    <w:rsid w:val="000613A0"/>
    <w:rsid w:val="0006419F"/>
    <w:rsid w:val="00077A7F"/>
    <w:rsid w:val="00082E98"/>
    <w:rsid w:val="00083FA3"/>
    <w:rsid w:val="00091591"/>
    <w:rsid w:val="00093CD0"/>
    <w:rsid w:val="000A5380"/>
    <w:rsid w:val="000A5527"/>
    <w:rsid w:val="000B2DDC"/>
    <w:rsid w:val="000C25CE"/>
    <w:rsid w:val="000C590E"/>
    <w:rsid w:val="001214A1"/>
    <w:rsid w:val="0012348D"/>
    <w:rsid w:val="00127BC9"/>
    <w:rsid w:val="001368E2"/>
    <w:rsid w:val="001377E7"/>
    <w:rsid w:val="00142D1B"/>
    <w:rsid w:val="00144AE3"/>
    <w:rsid w:val="00145774"/>
    <w:rsid w:val="00173E91"/>
    <w:rsid w:val="0017417A"/>
    <w:rsid w:val="001773EB"/>
    <w:rsid w:val="00193F11"/>
    <w:rsid w:val="00195C69"/>
    <w:rsid w:val="001A202F"/>
    <w:rsid w:val="001B5408"/>
    <w:rsid w:val="001C2514"/>
    <w:rsid w:val="001F52CE"/>
    <w:rsid w:val="00201F89"/>
    <w:rsid w:val="002049C5"/>
    <w:rsid w:val="00230A76"/>
    <w:rsid w:val="0025083F"/>
    <w:rsid w:val="00255B55"/>
    <w:rsid w:val="00260243"/>
    <w:rsid w:val="0028036C"/>
    <w:rsid w:val="00285073"/>
    <w:rsid w:val="0029745B"/>
    <w:rsid w:val="00297AB7"/>
    <w:rsid w:val="002A1484"/>
    <w:rsid w:val="002A46C0"/>
    <w:rsid w:val="002B4237"/>
    <w:rsid w:val="002C1E42"/>
    <w:rsid w:val="002F12A5"/>
    <w:rsid w:val="00314922"/>
    <w:rsid w:val="00316B43"/>
    <w:rsid w:val="00324024"/>
    <w:rsid w:val="00333882"/>
    <w:rsid w:val="00341624"/>
    <w:rsid w:val="00347795"/>
    <w:rsid w:val="00352994"/>
    <w:rsid w:val="00355977"/>
    <w:rsid w:val="00367AB6"/>
    <w:rsid w:val="0038123D"/>
    <w:rsid w:val="00386021"/>
    <w:rsid w:val="003871C2"/>
    <w:rsid w:val="003A75AA"/>
    <w:rsid w:val="003B1C29"/>
    <w:rsid w:val="003B3354"/>
    <w:rsid w:val="003D32F3"/>
    <w:rsid w:val="003E6BDC"/>
    <w:rsid w:val="003E752A"/>
    <w:rsid w:val="004061C7"/>
    <w:rsid w:val="00430292"/>
    <w:rsid w:val="00437965"/>
    <w:rsid w:val="00442A0A"/>
    <w:rsid w:val="00452705"/>
    <w:rsid w:val="004569B3"/>
    <w:rsid w:val="00461EF0"/>
    <w:rsid w:val="00462C81"/>
    <w:rsid w:val="004861DE"/>
    <w:rsid w:val="00486A42"/>
    <w:rsid w:val="004B4AE0"/>
    <w:rsid w:val="004D01CE"/>
    <w:rsid w:val="004D2B98"/>
    <w:rsid w:val="004D2C0B"/>
    <w:rsid w:val="004D7457"/>
    <w:rsid w:val="004D7E85"/>
    <w:rsid w:val="004E388D"/>
    <w:rsid w:val="00504F87"/>
    <w:rsid w:val="00505D4F"/>
    <w:rsid w:val="00510F74"/>
    <w:rsid w:val="00512798"/>
    <w:rsid w:val="005218FC"/>
    <w:rsid w:val="00526087"/>
    <w:rsid w:val="0054374E"/>
    <w:rsid w:val="00546B6F"/>
    <w:rsid w:val="00551955"/>
    <w:rsid w:val="005710CC"/>
    <w:rsid w:val="005723CD"/>
    <w:rsid w:val="0057456B"/>
    <w:rsid w:val="005803BB"/>
    <w:rsid w:val="00584DD5"/>
    <w:rsid w:val="0058533F"/>
    <w:rsid w:val="00591237"/>
    <w:rsid w:val="005977D4"/>
    <w:rsid w:val="005A7830"/>
    <w:rsid w:val="005B17A4"/>
    <w:rsid w:val="005D197F"/>
    <w:rsid w:val="005F06E3"/>
    <w:rsid w:val="00603ADB"/>
    <w:rsid w:val="00605DD5"/>
    <w:rsid w:val="006124D0"/>
    <w:rsid w:val="00640B53"/>
    <w:rsid w:val="00641259"/>
    <w:rsid w:val="00647E3E"/>
    <w:rsid w:val="00653EB1"/>
    <w:rsid w:val="006554D5"/>
    <w:rsid w:val="00655C4F"/>
    <w:rsid w:val="006567BC"/>
    <w:rsid w:val="00666AEF"/>
    <w:rsid w:val="00666F94"/>
    <w:rsid w:val="00672AF5"/>
    <w:rsid w:val="00681472"/>
    <w:rsid w:val="00681F9B"/>
    <w:rsid w:val="0068295F"/>
    <w:rsid w:val="00694D01"/>
    <w:rsid w:val="006A6408"/>
    <w:rsid w:val="006E3240"/>
    <w:rsid w:val="006F1267"/>
    <w:rsid w:val="007162F7"/>
    <w:rsid w:val="00742099"/>
    <w:rsid w:val="0074351C"/>
    <w:rsid w:val="007500F3"/>
    <w:rsid w:val="0075571A"/>
    <w:rsid w:val="007A6D7F"/>
    <w:rsid w:val="007C4CC9"/>
    <w:rsid w:val="007D25DA"/>
    <w:rsid w:val="007D4362"/>
    <w:rsid w:val="007F6F8F"/>
    <w:rsid w:val="008029DE"/>
    <w:rsid w:val="00813A1C"/>
    <w:rsid w:val="0082797D"/>
    <w:rsid w:val="0084059C"/>
    <w:rsid w:val="008456EF"/>
    <w:rsid w:val="008566B7"/>
    <w:rsid w:val="0086313A"/>
    <w:rsid w:val="008821EC"/>
    <w:rsid w:val="008B251A"/>
    <w:rsid w:val="008B3760"/>
    <w:rsid w:val="008B383A"/>
    <w:rsid w:val="008B3DF5"/>
    <w:rsid w:val="008C6E50"/>
    <w:rsid w:val="008D35FD"/>
    <w:rsid w:val="008D52EA"/>
    <w:rsid w:val="008E6F67"/>
    <w:rsid w:val="008F0BD3"/>
    <w:rsid w:val="008F2DF5"/>
    <w:rsid w:val="008F3C27"/>
    <w:rsid w:val="00907128"/>
    <w:rsid w:val="00916DEA"/>
    <w:rsid w:val="00920E97"/>
    <w:rsid w:val="00945F66"/>
    <w:rsid w:val="00952C50"/>
    <w:rsid w:val="009531F7"/>
    <w:rsid w:val="00966C7B"/>
    <w:rsid w:val="00976B78"/>
    <w:rsid w:val="00995281"/>
    <w:rsid w:val="009A273F"/>
    <w:rsid w:val="009A331F"/>
    <w:rsid w:val="009B54D7"/>
    <w:rsid w:val="009C2983"/>
    <w:rsid w:val="009C4AD9"/>
    <w:rsid w:val="009D0E84"/>
    <w:rsid w:val="009D2327"/>
    <w:rsid w:val="009D263C"/>
    <w:rsid w:val="009E0D73"/>
    <w:rsid w:val="009E28B1"/>
    <w:rsid w:val="00A03D40"/>
    <w:rsid w:val="00A06D35"/>
    <w:rsid w:val="00A14589"/>
    <w:rsid w:val="00A2289F"/>
    <w:rsid w:val="00A309D3"/>
    <w:rsid w:val="00A35382"/>
    <w:rsid w:val="00A42CB3"/>
    <w:rsid w:val="00A53F8E"/>
    <w:rsid w:val="00A55B86"/>
    <w:rsid w:val="00A57341"/>
    <w:rsid w:val="00A57AD3"/>
    <w:rsid w:val="00A60348"/>
    <w:rsid w:val="00A769E1"/>
    <w:rsid w:val="00A8605D"/>
    <w:rsid w:val="00A92285"/>
    <w:rsid w:val="00A93EBC"/>
    <w:rsid w:val="00A977BA"/>
    <w:rsid w:val="00AA295F"/>
    <w:rsid w:val="00AB453F"/>
    <w:rsid w:val="00AE2A7B"/>
    <w:rsid w:val="00AF0740"/>
    <w:rsid w:val="00AF7991"/>
    <w:rsid w:val="00B13C02"/>
    <w:rsid w:val="00B46AA8"/>
    <w:rsid w:val="00B60416"/>
    <w:rsid w:val="00B829C5"/>
    <w:rsid w:val="00B861CD"/>
    <w:rsid w:val="00B935A2"/>
    <w:rsid w:val="00BA1FD9"/>
    <w:rsid w:val="00BA7706"/>
    <w:rsid w:val="00BC6C40"/>
    <w:rsid w:val="00BE50BB"/>
    <w:rsid w:val="00BF0003"/>
    <w:rsid w:val="00BF0CFA"/>
    <w:rsid w:val="00BF5EDD"/>
    <w:rsid w:val="00BF76A1"/>
    <w:rsid w:val="00C031F6"/>
    <w:rsid w:val="00C21F12"/>
    <w:rsid w:val="00C34192"/>
    <w:rsid w:val="00C44C48"/>
    <w:rsid w:val="00C55B9C"/>
    <w:rsid w:val="00C61752"/>
    <w:rsid w:val="00C75B3B"/>
    <w:rsid w:val="00C91449"/>
    <w:rsid w:val="00C917E7"/>
    <w:rsid w:val="00C9300E"/>
    <w:rsid w:val="00CA0758"/>
    <w:rsid w:val="00CA70EA"/>
    <w:rsid w:val="00CB34A3"/>
    <w:rsid w:val="00CC2BCA"/>
    <w:rsid w:val="00CC32D9"/>
    <w:rsid w:val="00CD0A4C"/>
    <w:rsid w:val="00CD15AB"/>
    <w:rsid w:val="00CF225E"/>
    <w:rsid w:val="00CF26C7"/>
    <w:rsid w:val="00D040AF"/>
    <w:rsid w:val="00D17E3E"/>
    <w:rsid w:val="00D214FB"/>
    <w:rsid w:val="00D25CDD"/>
    <w:rsid w:val="00D30C77"/>
    <w:rsid w:val="00D36583"/>
    <w:rsid w:val="00D401A7"/>
    <w:rsid w:val="00D45915"/>
    <w:rsid w:val="00D46D8E"/>
    <w:rsid w:val="00D51DD5"/>
    <w:rsid w:val="00D53D7F"/>
    <w:rsid w:val="00D610C0"/>
    <w:rsid w:val="00D62A30"/>
    <w:rsid w:val="00D7180E"/>
    <w:rsid w:val="00D757DA"/>
    <w:rsid w:val="00D760F0"/>
    <w:rsid w:val="00DB14D8"/>
    <w:rsid w:val="00DC5EDF"/>
    <w:rsid w:val="00DE1A85"/>
    <w:rsid w:val="00DF78B1"/>
    <w:rsid w:val="00E166F6"/>
    <w:rsid w:val="00E22EDA"/>
    <w:rsid w:val="00E40B8A"/>
    <w:rsid w:val="00E4406D"/>
    <w:rsid w:val="00E4534F"/>
    <w:rsid w:val="00E55C19"/>
    <w:rsid w:val="00E6390D"/>
    <w:rsid w:val="00E6798F"/>
    <w:rsid w:val="00E72FFA"/>
    <w:rsid w:val="00EA15EA"/>
    <w:rsid w:val="00EA7026"/>
    <w:rsid w:val="00ED6685"/>
    <w:rsid w:val="00EE3F64"/>
    <w:rsid w:val="00EE69E8"/>
    <w:rsid w:val="00EF04B9"/>
    <w:rsid w:val="00EF358D"/>
    <w:rsid w:val="00EF427B"/>
    <w:rsid w:val="00EF7A19"/>
    <w:rsid w:val="00F056DA"/>
    <w:rsid w:val="00F11A3F"/>
    <w:rsid w:val="00F13419"/>
    <w:rsid w:val="00F22FAA"/>
    <w:rsid w:val="00F27BF2"/>
    <w:rsid w:val="00F3061F"/>
    <w:rsid w:val="00F409C3"/>
    <w:rsid w:val="00F6043E"/>
    <w:rsid w:val="00F65C70"/>
    <w:rsid w:val="00F70461"/>
    <w:rsid w:val="00F7399C"/>
    <w:rsid w:val="00F82AA7"/>
    <w:rsid w:val="00F9646C"/>
    <w:rsid w:val="00FA07E2"/>
    <w:rsid w:val="00FA249D"/>
    <w:rsid w:val="00FB1F19"/>
    <w:rsid w:val="00FC30F2"/>
    <w:rsid w:val="00FC755A"/>
    <w:rsid w:val="00FD048E"/>
    <w:rsid w:val="00FD2205"/>
    <w:rsid w:val="00FD40B4"/>
    <w:rsid w:val="00FE2307"/>
    <w:rsid w:val="00FE5443"/>
    <w:rsid w:val="00FF546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F4F8003-387E-4A98-8E64-6381455BC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0B53"/>
  </w:style>
  <w:style w:type="paragraph" w:styleId="Heading1">
    <w:name w:val="heading 1"/>
    <w:basedOn w:val="Normal"/>
    <w:next w:val="Normal"/>
    <w:link w:val="Heading1Char"/>
    <w:uiPriority w:val="9"/>
    <w:qFormat/>
    <w:rsid w:val="008456E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456E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5270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A42CB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640B5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40B53"/>
    <w:rPr>
      <w:sz w:val="20"/>
      <w:szCs w:val="20"/>
    </w:rPr>
  </w:style>
  <w:style w:type="character" w:styleId="FootnoteReference">
    <w:name w:val="footnote reference"/>
    <w:basedOn w:val="DefaultParagraphFont"/>
    <w:uiPriority w:val="99"/>
    <w:semiHidden/>
    <w:unhideWhenUsed/>
    <w:rsid w:val="00640B53"/>
    <w:rPr>
      <w:vertAlign w:val="superscript"/>
    </w:rPr>
  </w:style>
  <w:style w:type="paragraph" w:styleId="ListParagraph">
    <w:name w:val="List Paragraph"/>
    <w:basedOn w:val="Normal"/>
    <w:uiPriority w:val="34"/>
    <w:qFormat/>
    <w:rsid w:val="00640B53"/>
    <w:pPr>
      <w:ind w:left="720"/>
      <w:contextualSpacing/>
    </w:pPr>
  </w:style>
  <w:style w:type="character" w:customStyle="1" w:styleId="Heading1Char">
    <w:name w:val="Heading 1 Char"/>
    <w:basedOn w:val="DefaultParagraphFont"/>
    <w:link w:val="Heading1"/>
    <w:uiPriority w:val="9"/>
    <w:rsid w:val="008456E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8456EF"/>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45270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9A27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273F"/>
  </w:style>
  <w:style w:type="paragraph" w:styleId="Footer">
    <w:name w:val="footer"/>
    <w:basedOn w:val="Normal"/>
    <w:link w:val="FooterChar"/>
    <w:uiPriority w:val="99"/>
    <w:unhideWhenUsed/>
    <w:rsid w:val="009A27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273F"/>
  </w:style>
  <w:style w:type="paragraph" w:styleId="EndnoteText">
    <w:name w:val="endnote text"/>
    <w:basedOn w:val="Normal"/>
    <w:link w:val="EndnoteTextChar"/>
    <w:uiPriority w:val="99"/>
    <w:unhideWhenUsed/>
    <w:rsid w:val="00A8605D"/>
    <w:pPr>
      <w:spacing w:after="0" w:line="240" w:lineRule="auto"/>
    </w:pPr>
    <w:rPr>
      <w:sz w:val="20"/>
      <w:szCs w:val="20"/>
    </w:rPr>
  </w:style>
  <w:style w:type="character" w:customStyle="1" w:styleId="EndnoteTextChar">
    <w:name w:val="Endnote Text Char"/>
    <w:basedOn w:val="DefaultParagraphFont"/>
    <w:link w:val="EndnoteText"/>
    <w:uiPriority w:val="99"/>
    <w:rsid w:val="00A8605D"/>
    <w:rPr>
      <w:sz w:val="20"/>
      <w:szCs w:val="20"/>
    </w:rPr>
  </w:style>
  <w:style w:type="character" w:styleId="EndnoteReference">
    <w:name w:val="endnote reference"/>
    <w:basedOn w:val="DefaultParagraphFont"/>
    <w:uiPriority w:val="99"/>
    <w:semiHidden/>
    <w:unhideWhenUsed/>
    <w:rsid w:val="00A8605D"/>
    <w:rPr>
      <w:vertAlign w:val="superscript"/>
    </w:rPr>
  </w:style>
  <w:style w:type="character" w:customStyle="1" w:styleId="fontstyle01">
    <w:name w:val="fontstyle01"/>
    <w:basedOn w:val="DefaultParagraphFont"/>
    <w:rsid w:val="00D51DD5"/>
    <w:rPr>
      <w:rFonts w:ascii="SabondiacriticRoman" w:hAnsi="SabondiacriticRoman" w:hint="default"/>
      <w:b w:val="0"/>
      <w:bCs w:val="0"/>
      <w:i w:val="0"/>
      <w:iCs w:val="0"/>
      <w:color w:val="010202"/>
      <w:sz w:val="20"/>
      <w:szCs w:val="20"/>
    </w:rPr>
  </w:style>
  <w:style w:type="character" w:customStyle="1" w:styleId="fontstyle21">
    <w:name w:val="fontstyle21"/>
    <w:basedOn w:val="DefaultParagraphFont"/>
    <w:rsid w:val="00D51DD5"/>
    <w:rPr>
      <w:rFonts w:ascii="SabondiexPlain" w:hAnsi="SabondiexPlain" w:hint="default"/>
      <w:b w:val="0"/>
      <w:bCs w:val="0"/>
      <w:i w:val="0"/>
      <w:iCs w:val="0"/>
      <w:color w:val="010202"/>
      <w:sz w:val="18"/>
      <w:szCs w:val="18"/>
    </w:rPr>
  </w:style>
  <w:style w:type="table" w:styleId="TableGrid">
    <w:name w:val="Table Grid"/>
    <w:basedOn w:val="TableNormal"/>
    <w:uiPriority w:val="39"/>
    <w:rsid w:val="006E32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94D01"/>
    <w:rPr>
      <w:color w:val="0563C1" w:themeColor="hyperlink"/>
      <w:u w:val="single"/>
    </w:rPr>
  </w:style>
  <w:style w:type="table" w:styleId="PlainTable3">
    <w:name w:val="Plain Table 3"/>
    <w:basedOn w:val="TableNormal"/>
    <w:uiPriority w:val="43"/>
    <w:rsid w:val="00A92285"/>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4Char">
    <w:name w:val="Heading 4 Char"/>
    <w:basedOn w:val="DefaultParagraphFont"/>
    <w:link w:val="Heading4"/>
    <w:uiPriority w:val="9"/>
    <w:rsid w:val="00A42CB3"/>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574782">
      <w:bodyDiv w:val="1"/>
      <w:marLeft w:val="0"/>
      <w:marRight w:val="0"/>
      <w:marTop w:val="0"/>
      <w:marBottom w:val="0"/>
      <w:divBdr>
        <w:top w:val="none" w:sz="0" w:space="0" w:color="auto"/>
        <w:left w:val="none" w:sz="0" w:space="0" w:color="auto"/>
        <w:bottom w:val="none" w:sz="0" w:space="0" w:color="auto"/>
        <w:right w:val="none" w:sz="0" w:space="0" w:color="auto"/>
      </w:divBdr>
      <w:divsChild>
        <w:div w:id="515197629">
          <w:marLeft w:val="360"/>
          <w:marRight w:val="0"/>
          <w:marTop w:val="200"/>
          <w:marBottom w:val="0"/>
          <w:divBdr>
            <w:top w:val="none" w:sz="0" w:space="0" w:color="auto"/>
            <w:left w:val="none" w:sz="0" w:space="0" w:color="auto"/>
            <w:bottom w:val="none" w:sz="0" w:space="0" w:color="auto"/>
            <w:right w:val="none" w:sz="0" w:space="0" w:color="auto"/>
          </w:divBdr>
        </w:div>
        <w:div w:id="1492597440">
          <w:marLeft w:val="360"/>
          <w:marRight w:val="0"/>
          <w:marTop w:val="200"/>
          <w:marBottom w:val="0"/>
          <w:divBdr>
            <w:top w:val="none" w:sz="0" w:space="0" w:color="auto"/>
            <w:left w:val="none" w:sz="0" w:space="0" w:color="auto"/>
            <w:bottom w:val="none" w:sz="0" w:space="0" w:color="auto"/>
            <w:right w:val="none" w:sz="0" w:space="0" w:color="auto"/>
          </w:divBdr>
        </w:div>
        <w:div w:id="1235778893">
          <w:marLeft w:val="1080"/>
          <w:marRight w:val="0"/>
          <w:marTop w:val="100"/>
          <w:marBottom w:val="0"/>
          <w:divBdr>
            <w:top w:val="none" w:sz="0" w:space="0" w:color="auto"/>
            <w:left w:val="none" w:sz="0" w:space="0" w:color="auto"/>
            <w:bottom w:val="none" w:sz="0" w:space="0" w:color="auto"/>
            <w:right w:val="none" w:sz="0" w:space="0" w:color="auto"/>
          </w:divBdr>
        </w:div>
        <w:div w:id="1855923449">
          <w:marLeft w:val="1080"/>
          <w:marRight w:val="0"/>
          <w:marTop w:val="100"/>
          <w:marBottom w:val="0"/>
          <w:divBdr>
            <w:top w:val="none" w:sz="0" w:space="0" w:color="auto"/>
            <w:left w:val="none" w:sz="0" w:space="0" w:color="auto"/>
            <w:bottom w:val="none" w:sz="0" w:space="0" w:color="auto"/>
            <w:right w:val="none" w:sz="0" w:space="0" w:color="auto"/>
          </w:divBdr>
        </w:div>
      </w:divsChild>
    </w:div>
    <w:div w:id="59796379">
      <w:bodyDiv w:val="1"/>
      <w:marLeft w:val="0"/>
      <w:marRight w:val="0"/>
      <w:marTop w:val="0"/>
      <w:marBottom w:val="0"/>
      <w:divBdr>
        <w:top w:val="none" w:sz="0" w:space="0" w:color="auto"/>
        <w:left w:val="none" w:sz="0" w:space="0" w:color="auto"/>
        <w:bottom w:val="none" w:sz="0" w:space="0" w:color="auto"/>
        <w:right w:val="none" w:sz="0" w:space="0" w:color="auto"/>
      </w:divBdr>
    </w:div>
    <w:div w:id="419722807">
      <w:bodyDiv w:val="1"/>
      <w:marLeft w:val="0"/>
      <w:marRight w:val="0"/>
      <w:marTop w:val="0"/>
      <w:marBottom w:val="0"/>
      <w:divBdr>
        <w:top w:val="none" w:sz="0" w:space="0" w:color="auto"/>
        <w:left w:val="none" w:sz="0" w:space="0" w:color="auto"/>
        <w:bottom w:val="none" w:sz="0" w:space="0" w:color="auto"/>
        <w:right w:val="none" w:sz="0" w:space="0" w:color="auto"/>
      </w:divBdr>
    </w:div>
    <w:div w:id="918056741">
      <w:bodyDiv w:val="1"/>
      <w:marLeft w:val="0"/>
      <w:marRight w:val="0"/>
      <w:marTop w:val="0"/>
      <w:marBottom w:val="0"/>
      <w:divBdr>
        <w:top w:val="none" w:sz="0" w:space="0" w:color="auto"/>
        <w:left w:val="none" w:sz="0" w:space="0" w:color="auto"/>
        <w:bottom w:val="none" w:sz="0" w:space="0" w:color="auto"/>
        <w:right w:val="none" w:sz="0" w:space="0" w:color="auto"/>
      </w:divBdr>
      <w:divsChild>
        <w:div w:id="973872041">
          <w:marLeft w:val="720"/>
          <w:marRight w:val="0"/>
          <w:marTop w:val="200"/>
          <w:marBottom w:val="0"/>
          <w:divBdr>
            <w:top w:val="none" w:sz="0" w:space="0" w:color="auto"/>
            <w:left w:val="none" w:sz="0" w:space="0" w:color="auto"/>
            <w:bottom w:val="none" w:sz="0" w:space="0" w:color="auto"/>
            <w:right w:val="none" w:sz="0" w:space="0" w:color="auto"/>
          </w:divBdr>
        </w:div>
        <w:div w:id="1346899581">
          <w:marLeft w:val="720"/>
          <w:marRight w:val="0"/>
          <w:marTop w:val="200"/>
          <w:marBottom w:val="0"/>
          <w:divBdr>
            <w:top w:val="none" w:sz="0" w:space="0" w:color="auto"/>
            <w:left w:val="none" w:sz="0" w:space="0" w:color="auto"/>
            <w:bottom w:val="none" w:sz="0" w:space="0" w:color="auto"/>
            <w:right w:val="none" w:sz="0" w:space="0" w:color="auto"/>
          </w:divBdr>
        </w:div>
        <w:div w:id="822040603">
          <w:marLeft w:val="720"/>
          <w:marRight w:val="0"/>
          <w:marTop w:val="200"/>
          <w:marBottom w:val="0"/>
          <w:divBdr>
            <w:top w:val="none" w:sz="0" w:space="0" w:color="auto"/>
            <w:left w:val="none" w:sz="0" w:space="0" w:color="auto"/>
            <w:bottom w:val="none" w:sz="0" w:space="0" w:color="auto"/>
            <w:right w:val="none" w:sz="0" w:space="0" w:color="auto"/>
          </w:divBdr>
        </w:div>
        <w:div w:id="2110813824">
          <w:marLeft w:val="547"/>
          <w:marRight w:val="0"/>
          <w:marTop w:val="200"/>
          <w:marBottom w:val="0"/>
          <w:divBdr>
            <w:top w:val="none" w:sz="0" w:space="0" w:color="auto"/>
            <w:left w:val="none" w:sz="0" w:space="0" w:color="auto"/>
            <w:bottom w:val="none" w:sz="0" w:space="0" w:color="auto"/>
            <w:right w:val="none" w:sz="0" w:space="0" w:color="auto"/>
          </w:divBdr>
        </w:div>
      </w:divsChild>
    </w:div>
    <w:div w:id="1002246281">
      <w:bodyDiv w:val="1"/>
      <w:marLeft w:val="0"/>
      <w:marRight w:val="0"/>
      <w:marTop w:val="0"/>
      <w:marBottom w:val="0"/>
      <w:divBdr>
        <w:top w:val="none" w:sz="0" w:space="0" w:color="auto"/>
        <w:left w:val="none" w:sz="0" w:space="0" w:color="auto"/>
        <w:bottom w:val="none" w:sz="0" w:space="0" w:color="auto"/>
        <w:right w:val="none" w:sz="0" w:space="0" w:color="auto"/>
      </w:divBdr>
    </w:div>
    <w:div w:id="1444111423">
      <w:bodyDiv w:val="1"/>
      <w:marLeft w:val="0"/>
      <w:marRight w:val="0"/>
      <w:marTop w:val="0"/>
      <w:marBottom w:val="0"/>
      <w:divBdr>
        <w:top w:val="none" w:sz="0" w:space="0" w:color="auto"/>
        <w:left w:val="none" w:sz="0" w:space="0" w:color="auto"/>
        <w:bottom w:val="none" w:sz="0" w:space="0" w:color="auto"/>
        <w:right w:val="none" w:sz="0" w:space="0" w:color="auto"/>
      </w:divBdr>
      <w:divsChild>
        <w:div w:id="170147723">
          <w:marLeft w:val="360"/>
          <w:marRight w:val="0"/>
          <w:marTop w:val="200"/>
          <w:marBottom w:val="0"/>
          <w:divBdr>
            <w:top w:val="none" w:sz="0" w:space="0" w:color="auto"/>
            <w:left w:val="none" w:sz="0" w:space="0" w:color="auto"/>
            <w:bottom w:val="none" w:sz="0" w:space="0" w:color="auto"/>
            <w:right w:val="none" w:sz="0" w:space="0" w:color="auto"/>
          </w:divBdr>
        </w:div>
        <w:div w:id="657727944">
          <w:marLeft w:val="1080"/>
          <w:marRight w:val="0"/>
          <w:marTop w:val="100"/>
          <w:marBottom w:val="0"/>
          <w:divBdr>
            <w:top w:val="none" w:sz="0" w:space="0" w:color="auto"/>
            <w:left w:val="none" w:sz="0" w:space="0" w:color="auto"/>
            <w:bottom w:val="none" w:sz="0" w:space="0" w:color="auto"/>
            <w:right w:val="none" w:sz="0" w:space="0" w:color="auto"/>
          </w:divBdr>
        </w:div>
        <w:div w:id="1301575338">
          <w:marLeft w:val="360"/>
          <w:marRight w:val="0"/>
          <w:marTop w:val="200"/>
          <w:marBottom w:val="0"/>
          <w:divBdr>
            <w:top w:val="none" w:sz="0" w:space="0" w:color="auto"/>
            <w:left w:val="none" w:sz="0" w:space="0" w:color="auto"/>
            <w:bottom w:val="none" w:sz="0" w:space="0" w:color="auto"/>
            <w:right w:val="none" w:sz="0" w:space="0" w:color="auto"/>
          </w:divBdr>
        </w:div>
        <w:div w:id="1536692714">
          <w:marLeft w:val="1080"/>
          <w:marRight w:val="0"/>
          <w:marTop w:val="100"/>
          <w:marBottom w:val="0"/>
          <w:divBdr>
            <w:top w:val="none" w:sz="0" w:space="0" w:color="auto"/>
            <w:left w:val="none" w:sz="0" w:space="0" w:color="auto"/>
            <w:bottom w:val="none" w:sz="0" w:space="0" w:color="auto"/>
            <w:right w:val="none" w:sz="0" w:space="0" w:color="auto"/>
          </w:divBdr>
        </w:div>
        <w:div w:id="923033320">
          <w:marLeft w:val="1080"/>
          <w:marRight w:val="0"/>
          <w:marTop w:val="100"/>
          <w:marBottom w:val="0"/>
          <w:divBdr>
            <w:top w:val="none" w:sz="0" w:space="0" w:color="auto"/>
            <w:left w:val="none" w:sz="0" w:space="0" w:color="auto"/>
            <w:bottom w:val="none" w:sz="0" w:space="0" w:color="auto"/>
            <w:right w:val="none" w:sz="0" w:space="0" w:color="auto"/>
          </w:divBdr>
        </w:div>
        <w:div w:id="1937664687">
          <w:marLeft w:val="1080"/>
          <w:marRight w:val="0"/>
          <w:marTop w:val="100"/>
          <w:marBottom w:val="0"/>
          <w:divBdr>
            <w:top w:val="none" w:sz="0" w:space="0" w:color="auto"/>
            <w:left w:val="none" w:sz="0" w:space="0" w:color="auto"/>
            <w:bottom w:val="none" w:sz="0" w:space="0" w:color="auto"/>
            <w:right w:val="none" w:sz="0" w:space="0" w:color="auto"/>
          </w:divBdr>
        </w:div>
      </w:divsChild>
    </w:div>
    <w:div w:id="1523201095">
      <w:bodyDiv w:val="1"/>
      <w:marLeft w:val="0"/>
      <w:marRight w:val="0"/>
      <w:marTop w:val="0"/>
      <w:marBottom w:val="0"/>
      <w:divBdr>
        <w:top w:val="none" w:sz="0" w:space="0" w:color="auto"/>
        <w:left w:val="none" w:sz="0" w:space="0" w:color="auto"/>
        <w:bottom w:val="none" w:sz="0" w:space="0" w:color="auto"/>
        <w:right w:val="none" w:sz="0" w:space="0" w:color="auto"/>
      </w:divBdr>
    </w:div>
    <w:div w:id="1620452514">
      <w:bodyDiv w:val="1"/>
      <w:marLeft w:val="0"/>
      <w:marRight w:val="0"/>
      <w:marTop w:val="0"/>
      <w:marBottom w:val="0"/>
      <w:divBdr>
        <w:top w:val="none" w:sz="0" w:space="0" w:color="auto"/>
        <w:left w:val="none" w:sz="0" w:space="0" w:color="auto"/>
        <w:bottom w:val="none" w:sz="0" w:space="0" w:color="auto"/>
        <w:right w:val="none" w:sz="0" w:space="0" w:color="auto"/>
      </w:divBdr>
      <w:divsChild>
        <w:div w:id="100610044">
          <w:marLeft w:val="0"/>
          <w:marRight w:val="0"/>
          <w:marTop w:val="0"/>
          <w:marBottom w:val="0"/>
          <w:divBdr>
            <w:top w:val="none" w:sz="0" w:space="0" w:color="auto"/>
            <w:left w:val="none" w:sz="0" w:space="0" w:color="auto"/>
            <w:bottom w:val="none" w:sz="0" w:space="0" w:color="auto"/>
            <w:right w:val="none" w:sz="0" w:space="0" w:color="auto"/>
          </w:divBdr>
        </w:div>
        <w:div w:id="2019960827">
          <w:marLeft w:val="0"/>
          <w:marRight w:val="0"/>
          <w:marTop w:val="0"/>
          <w:marBottom w:val="0"/>
          <w:divBdr>
            <w:top w:val="none" w:sz="0" w:space="0" w:color="auto"/>
            <w:left w:val="none" w:sz="0" w:space="0" w:color="auto"/>
            <w:bottom w:val="none" w:sz="0" w:space="0" w:color="auto"/>
            <w:right w:val="none" w:sz="0" w:space="0" w:color="auto"/>
          </w:divBdr>
        </w:div>
      </w:divsChild>
    </w:div>
    <w:div w:id="1971662800">
      <w:bodyDiv w:val="1"/>
      <w:marLeft w:val="0"/>
      <w:marRight w:val="0"/>
      <w:marTop w:val="0"/>
      <w:marBottom w:val="0"/>
      <w:divBdr>
        <w:top w:val="none" w:sz="0" w:space="0" w:color="auto"/>
        <w:left w:val="none" w:sz="0" w:space="0" w:color="auto"/>
        <w:bottom w:val="none" w:sz="0" w:space="0" w:color="auto"/>
        <w:right w:val="none" w:sz="0" w:space="0" w:color="auto"/>
      </w:divBdr>
      <w:divsChild>
        <w:div w:id="408502952">
          <w:marLeft w:val="360"/>
          <w:marRight w:val="0"/>
          <w:marTop w:val="200"/>
          <w:marBottom w:val="0"/>
          <w:divBdr>
            <w:top w:val="none" w:sz="0" w:space="0" w:color="auto"/>
            <w:left w:val="none" w:sz="0" w:space="0" w:color="auto"/>
            <w:bottom w:val="none" w:sz="0" w:space="0" w:color="auto"/>
            <w:right w:val="none" w:sz="0" w:space="0" w:color="auto"/>
          </w:divBdr>
        </w:div>
        <w:div w:id="1535576369">
          <w:marLeft w:val="360"/>
          <w:marRight w:val="0"/>
          <w:marTop w:val="200"/>
          <w:marBottom w:val="0"/>
          <w:divBdr>
            <w:top w:val="none" w:sz="0" w:space="0" w:color="auto"/>
            <w:left w:val="none" w:sz="0" w:space="0" w:color="auto"/>
            <w:bottom w:val="none" w:sz="0" w:space="0" w:color="auto"/>
            <w:right w:val="none" w:sz="0" w:space="0" w:color="auto"/>
          </w:divBdr>
        </w:div>
        <w:div w:id="128742602">
          <w:marLeft w:val="360"/>
          <w:marRight w:val="0"/>
          <w:marTop w:val="200"/>
          <w:marBottom w:val="0"/>
          <w:divBdr>
            <w:top w:val="none" w:sz="0" w:space="0" w:color="auto"/>
            <w:left w:val="none" w:sz="0" w:space="0" w:color="auto"/>
            <w:bottom w:val="none" w:sz="0" w:space="0" w:color="auto"/>
            <w:right w:val="none" w:sz="0" w:space="0" w:color="auto"/>
          </w:divBdr>
        </w:div>
        <w:div w:id="879365390">
          <w:marLeft w:val="360"/>
          <w:marRight w:val="0"/>
          <w:marTop w:val="200"/>
          <w:marBottom w:val="0"/>
          <w:divBdr>
            <w:top w:val="none" w:sz="0" w:space="0" w:color="auto"/>
            <w:left w:val="none" w:sz="0" w:space="0" w:color="auto"/>
            <w:bottom w:val="none" w:sz="0" w:space="0" w:color="auto"/>
            <w:right w:val="none" w:sz="0" w:space="0" w:color="auto"/>
          </w:divBdr>
        </w:div>
        <w:div w:id="244611987">
          <w:marLeft w:val="360"/>
          <w:marRight w:val="0"/>
          <w:marTop w:val="200"/>
          <w:marBottom w:val="0"/>
          <w:divBdr>
            <w:top w:val="none" w:sz="0" w:space="0" w:color="auto"/>
            <w:left w:val="none" w:sz="0" w:space="0" w:color="auto"/>
            <w:bottom w:val="none" w:sz="0" w:space="0" w:color="auto"/>
            <w:right w:val="none" w:sz="0" w:space="0" w:color="auto"/>
          </w:divBdr>
        </w:div>
        <w:div w:id="2008552739">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gus_miswanto@ummgl.ac.id"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22F77A-AC47-41D8-B9EC-C92098239F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17</Pages>
  <Words>18735</Words>
  <Characters>106793</Characters>
  <Application>Microsoft Office Word</Application>
  <DocSecurity>0</DocSecurity>
  <Lines>889</Lines>
  <Paragraphs>250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11</cp:revision>
  <cp:lastPrinted>2021-08-13T15:21:00Z</cp:lastPrinted>
  <dcterms:created xsi:type="dcterms:W3CDTF">2021-09-06T05:12:00Z</dcterms:created>
  <dcterms:modified xsi:type="dcterms:W3CDTF">2021-09-06T07:25:00Z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http://www.zotero.org/styles/chicago-fullnote-bibliography</vt:lpwstr>
  </property>
  <property fmtid="{D5CDD505-2E9C-101B-9397-08002B2CF9AE}" pid="11" name="Mendeley Recent Style Name 4_1">
    <vt:lpwstr>Chicago Manual of Style 17th edition (full note)</vt:lpwstr>
  </property>
  <property fmtid="{D5CDD505-2E9C-101B-9397-08002B2CF9AE}" pid="12" name="Mendeley Recent Style Id 5_1">
    <vt:lpwstr>http://www.zotero.org/styles/chicago-note-bibliography</vt:lpwstr>
  </property>
  <property fmtid="{D5CDD505-2E9C-101B-9397-08002B2CF9AE}" pid="13" name="Mendeley Recent Style Name 5_1">
    <vt:lpwstr>Chicago Manual of Style 17th edition (note)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10th edition - Harvard</vt:lpwstr>
  </property>
  <property fmtid="{D5CDD505-2E9C-101B-9397-08002B2CF9AE}" pid="16" name="Mendeley Recent Style Id 7_1">
    <vt:lpwstr>http://www.zotero.org/styles/harvard1</vt:lpwstr>
  </property>
  <property fmtid="{D5CDD505-2E9C-101B-9397-08002B2CF9AE}" pid="17" name="Mendeley Recent Style Name 7_1">
    <vt:lpwstr>Harvard reference format 1 (deprecated)</vt:lpwstr>
  </property>
  <property fmtid="{D5CDD505-2E9C-101B-9397-08002B2CF9AE}" pid="18" name="Mendeley Recent Style Id 8_1">
    <vt:lpwstr>http://www.zotero.org/styles/ieee</vt:lpwstr>
  </property>
  <property fmtid="{D5CDD505-2E9C-101B-9397-08002B2CF9AE}" pid="19" name="Mendeley Recent Style Name 8_1">
    <vt:lpwstr>IEEE</vt:lpwstr>
  </property>
  <property fmtid="{D5CDD505-2E9C-101B-9397-08002B2CF9AE}" pid="20" name="Mendeley Recent Style Id 9_1">
    <vt:lpwstr>http://www.zotero.org/styles/modern-humanities-research-association</vt:lpwstr>
  </property>
  <property fmtid="{D5CDD505-2E9C-101B-9397-08002B2CF9AE}" pid="21" name="Mendeley Recent Style Name 9_1">
    <vt:lpwstr>Modern Humanities Research Association 3rd edition (note with bibliography)</vt:lpwstr>
  </property>
  <property fmtid="{D5CDD505-2E9C-101B-9397-08002B2CF9AE}" pid="22" name="Mendeley Citation Style_1">
    <vt:lpwstr>http://www.zotero.org/styles/apa</vt:lpwstr>
  </property>
  <property fmtid="{D5CDD505-2E9C-101B-9397-08002B2CF9AE}" pid="23" name="Mendeley Document_1">
    <vt:lpwstr>True</vt:lpwstr>
  </property>
  <property fmtid="{D5CDD505-2E9C-101B-9397-08002B2CF9AE}" pid="24" name="Mendeley Unique User Id_1">
    <vt:lpwstr>d3739d8a-39de-31de-9e29-320569944557</vt:lpwstr>
  </property>
</Properties>
</file>