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494953" w:rsidRPr="00494953" w:rsidRDefault="00494953" w:rsidP="00494953">
      <w:pPr>
        <w:pStyle w:val="Stylepapertitle14pt"/>
        <w:spacing w:after="0"/>
        <w:jc w:val="center"/>
        <w:rPr>
          <w:rFonts w:ascii="Palatino Linotype" w:hAnsi="Palatino Linotype"/>
          <w:b/>
          <w:bCs/>
          <w:color w:val="000000"/>
          <w:sz w:val="28"/>
          <w:szCs w:val="28"/>
          <w:lang w:val="id-ID"/>
        </w:rPr>
      </w:pPr>
      <w:bookmarkStart w:id="0" w:name="_GoBack"/>
      <w:bookmarkEnd w:id="0"/>
      <w:r w:rsidRPr="00494953">
        <w:rPr>
          <w:rFonts w:ascii="Palatino Linotype" w:hAnsi="Palatino Linotype"/>
          <w:b/>
          <w:bCs/>
          <w:color w:val="000000"/>
          <w:sz w:val="28"/>
          <w:szCs w:val="28"/>
          <w:lang w:val="id-ID"/>
        </w:rPr>
        <w:t>PERKEMBANGAN INDUSTRI KEUANGAN SYARIAH DI MASA PANDEMI COVID-19</w:t>
      </w:r>
    </w:p>
    <w:p w:rsidR="00494953" w:rsidRPr="00E215D6" w:rsidRDefault="00494953" w:rsidP="00252FC9">
      <w:pPr>
        <w:jc w:val="center"/>
        <w:rPr>
          <w:rFonts w:ascii="Palatino Linotype" w:hAnsi="Palatino Linotype"/>
          <w:b/>
          <w:sz w:val="28"/>
          <w:szCs w:val="28"/>
          <w:lang w:val="id-ID"/>
        </w:rPr>
      </w:pPr>
    </w:p>
    <w:p w:rsidR="00B36CFF" w:rsidRPr="00494953" w:rsidRDefault="00494953" w:rsidP="00B36CFF">
      <w:pPr>
        <w:jc w:val="center"/>
        <w:rPr>
          <w:rFonts w:ascii="Palatino Linotype" w:hAnsi="Palatino Linotype"/>
          <w:b/>
          <w:bCs/>
          <w:szCs w:val="24"/>
          <w:lang w:val="id-ID"/>
        </w:rPr>
      </w:pPr>
      <w:r w:rsidRPr="00494953">
        <w:rPr>
          <w:rFonts w:ascii="Palatino Linotype" w:hAnsi="Palatino Linotype"/>
          <w:b/>
          <w:bCs/>
          <w:color w:val="000000"/>
          <w:kern w:val="0"/>
          <w:szCs w:val="24"/>
          <w:lang w:val="id-ID" w:eastAsia="en-US"/>
        </w:rPr>
        <w:t>Arif Rohman</w:t>
      </w:r>
      <w:r w:rsidRPr="00494953">
        <w:rPr>
          <w:rFonts w:ascii="Palatino Linotype" w:hAnsi="Palatino Linotype"/>
          <w:b/>
          <w:bCs/>
          <w:color w:val="000000"/>
          <w:kern w:val="0"/>
          <w:szCs w:val="24"/>
          <w:vertAlign w:val="superscript"/>
          <w:lang w:val="de-DE" w:eastAsia="en-US"/>
        </w:rPr>
        <w:t>1</w:t>
      </w:r>
      <w:r w:rsidRPr="00494953">
        <w:rPr>
          <w:rFonts w:ascii="Palatino Linotype" w:hAnsi="Palatino Linotype"/>
          <w:b/>
          <w:bCs/>
          <w:color w:val="000000"/>
          <w:kern w:val="0"/>
          <w:szCs w:val="24"/>
          <w:lang w:val="id-ID" w:eastAsia="en-US"/>
        </w:rPr>
        <w:t>, Syufaat</w:t>
      </w:r>
      <w:r w:rsidRPr="00494953">
        <w:rPr>
          <w:rFonts w:ascii="Palatino Linotype" w:hAnsi="Palatino Linotype"/>
          <w:b/>
          <w:bCs/>
          <w:color w:val="000000"/>
          <w:kern w:val="0"/>
          <w:szCs w:val="24"/>
          <w:vertAlign w:val="superscript"/>
          <w:lang w:val="de-DE" w:eastAsia="en-US"/>
        </w:rPr>
        <w:t>2</w:t>
      </w:r>
    </w:p>
    <w:p w:rsidR="00782383" w:rsidRPr="00782383" w:rsidRDefault="00B81432" w:rsidP="00782383">
      <w:pPr>
        <w:autoSpaceDE w:val="0"/>
        <w:autoSpaceDN w:val="0"/>
        <w:adjustRightInd w:val="0"/>
        <w:jc w:val="center"/>
        <w:rPr>
          <w:rFonts w:ascii="Palatino Linotype" w:hAnsi="Palatino Linotype"/>
          <w:sz w:val="20"/>
          <w:lang w:val="id-ID"/>
        </w:rPr>
      </w:pPr>
      <w:r w:rsidRPr="00494953">
        <w:rPr>
          <w:rFonts w:ascii="Palatino Linotype" w:hAnsi="Palatino Linotype"/>
          <w:sz w:val="20"/>
          <w:vertAlign w:val="superscript"/>
          <w:lang w:val="id-ID"/>
        </w:rPr>
        <w:t>1</w:t>
      </w:r>
      <w:r w:rsidR="00494953">
        <w:rPr>
          <w:rFonts w:ascii="Palatino Linotype" w:hAnsi="Palatino Linotype"/>
          <w:sz w:val="20"/>
          <w:vertAlign w:val="superscript"/>
          <w:lang w:val="id-ID"/>
        </w:rPr>
        <w:t xml:space="preserve"> </w:t>
      </w:r>
      <w:r w:rsidR="00494953">
        <w:rPr>
          <w:rFonts w:ascii="Palatino Linotype" w:hAnsi="Palatino Linotype"/>
          <w:color w:val="000000"/>
          <w:kern w:val="0"/>
          <w:sz w:val="20"/>
          <w:lang w:val="id-ID" w:eastAsia="en-US"/>
        </w:rPr>
        <w:t xml:space="preserve">Mahasiswa </w:t>
      </w:r>
      <w:bookmarkStart w:id="1" w:name="_Hlk111380381"/>
      <w:r w:rsidR="00494953" w:rsidRPr="00494953">
        <w:rPr>
          <w:rFonts w:ascii="Palatino Linotype" w:hAnsi="Palatino Linotype"/>
          <w:color w:val="000000"/>
          <w:kern w:val="0"/>
          <w:sz w:val="20"/>
          <w:lang w:val="id-ID" w:eastAsia="en-US"/>
        </w:rPr>
        <w:t>Pascasarjana Universitas Islam Negeri Prof. KH. Saifuddin Zuhri Purwokerto Program Studi Hukum Ekonomi Syariah</w:t>
      </w:r>
      <w:bookmarkEnd w:id="1"/>
      <w:r w:rsidR="00B36CFF" w:rsidRPr="00494953">
        <w:rPr>
          <w:rFonts w:ascii="Palatino Linotype" w:hAnsi="Palatino Linotype"/>
          <w:sz w:val="20"/>
          <w:lang w:val="id-ID"/>
        </w:rPr>
        <w:t xml:space="preserve">, Email : </w:t>
      </w:r>
      <w:r w:rsidR="00494953" w:rsidRPr="00494953">
        <w:rPr>
          <w:rFonts w:ascii="Palatino Linotype" w:hAnsi="Palatino Linotype"/>
          <w:sz w:val="20"/>
          <w:lang w:val="id-ID"/>
        </w:rPr>
        <w:t>arifcopper@gmail.com</w:t>
      </w:r>
    </w:p>
    <w:p w:rsidR="00782383" w:rsidRPr="00E215D6" w:rsidRDefault="00B81432" w:rsidP="00782383">
      <w:pPr>
        <w:autoSpaceDE w:val="0"/>
        <w:autoSpaceDN w:val="0"/>
        <w:adjustRightInd w:val="0"/>
        <w:jc w:val="center"/>
        <w:rPr>
          <w:rFonts w:ascii="Palatino Linotype" w:hAnsi="Palatino Linotype"/>
          <w:sz w:val="20"/>
          <w:lang w:val="id-ID"/>
        </w:rPr>
      </w:pPr>
      <w:r w:rsidRPr="00E215D6">
        <w:rPr>
          <w:rFonts w:ascii="Palatino Linotype" w:hAnsi="Palatino Linotype"/>
          <w:sz w:val="20"/>
          <w:vertAlign w:val="superscript"/>
          <w:lang w:val="id-ID"/>
        </w:rPr>
        <w:t>2</w:t>
      </w:r>
      <w:r w:rsidR="00252FC9" w:rsidRPr="00E215D6">
        <w:rPr>
          <w:rFonts w:ascii="Palatino Linotype" w:hAnsi="Palatino Linotype"/>
          <w:sz w:val="20"/>
          <w:lang w:val="id-ID"/>
        </w:rPr>
        <w:t xml:space="preserve"> </w:t>
      </w:r>
      <w:r w:rsidR="00494953">
        <w:rPr>
          <w:rFonts w:ascii="Palatino Linotype" w:hAnsi="Palatino Linotype"/>
          <w:sz w:val="20"/>
          <w:lang w:val="id-ID"/>
        </w:rPr>
        <w:t xml:space="preserve">Dosen </w:t>
      </w:r>
      <w:r w:rsidR="00494953" w:rsidRPr="00494953">
        <w:rPr>
          <w:rFonts w:ascii="Palatino Linotype" w:hAnsi="Palatino Linotype"/>
          <w:color w:val="000000"/>
          <w:kern w:val="0"/>
          <w:sz w:val="20"/>
          <w:lang w:val="id-ID" w:eastAsia="en-US"/>
        </w:rPr>
        <w:t>Pascasarjana Universitas Islam Negeri Prof. KH. Saifuddin Zuhri Purwokerto Program Studi Hukum Ekonomi Syariah</w:t>
      </w:r>
      <w:r w:rsidR="00252FC9" w:rsidRPr="00E215D6">
        <w:rPr>
          <w:rFonts w:ascii="Palatino Linotype" w:hAnsi="Palatino Linotype"/>
          <w:sz w:val="20"/>
          <w:lang w:val="id-ID"/>
        </w:rPr>
        <w:t>, Email :</w:t>
      </w:r>
      <w:r w:rsidR="0030246B" w:rsidRPr="00E215D6">
        <w:rPr>
          <w:rFonts w:ascii="Palatino Linotype" w:hAnsi="Palatino Linotype"/>
          <w:sz w:val="20"/>
          <w:lang w:val="id-ID"/>
        </w:rPr>
        <w:t xml:space="preserve"> </w:t>
      </w:r>
      <w:r w:rsidR="00782383">
        <w:rPr>
          <w:rFonts w:ascii="Palatino Linotype" w:hAnsi="Palatino Linotype"/>
          <w:sz w:val="20"/>
          <w:lang w:val="id-ID"/>
        </w:rPr>
        <w:t>iainpwtsyufaat@gmail.com</w:t>
      </w:r>
    </w:p>
    <w:p w:rsidR="00B81432" w:rsidRPr="00E215D6" w:rsidRDefault="00B81432" w:rsidP="00B36CFF">
      <w:pPr>
        <w:autoSpaceDE w:val="0"/>
        <w:autoSpaceDN w:val="0"/>
        <w:adjustRightInd w:val="0"/>
        <w:jc w:val="center"/>
        <w:rPr>
          <w:rFonts w:ascii="Palatino Linotype" w:hAnsi="Palatino Linotype"/>
          <w:sz w:val="20"/>
          <w:lang w:val="id-ID"/>
        </w:rPr>
      </w:pPr>
    </w:p>
    <w:p w:rsidR="00D7500A" w:rsidRPr="00E215D6" w:rsidRDefault="00D7500A" w:rsidP="00B36CFF">
      <w:pPr>
        <w:autoSpaceDE w:val="0"/>
        <w:autoSpaceDN w:val="0"/>
        <w:adjustRightInd w:val="0"/>
        <w:jc w:val="center"/>
        <w:rPr>
          <w:rFonts w:ascii="Palatino Linotype" w:hAnsi="Palatino Linotype"/>
          <w:sz w:val="20"/>
          <w:lang w:val="id-ID"/>
        </w:rPr>
      </w:pPr>
    </w:p>
    <w:p w:rsidR="00B36CFF" w:rsidRPr="00E215D6" w:rsidRDefault="00B36CFF" w:rsidP="009B3EC8">
      <w:pPr>
        <w:autoSpaceDE w:val="0"/>
        <w:autoSpaceDN w:val="0"/>
        <w:adjustRightInd w:val="0"/>
        <w:spacing w:after="120"/>
        <w:jc w:val="center"/>
        <w:rPr>
          <w:rFonts w:ascii="Palatino Linotype" w:hAnsi="Palatino Linotype"/>
          <w:b/>
          <w:szCs w:val="24"/>
        </w:rPr>
      </w:pPr>
      <w:r w:rsidRPr="00E215D6">
        <w:rPr>
          <w:rFonts w:ascii="Palatino Linotype" w:hAnsi="Palatino Linotype"/>
          <w:b/>
          <w:szCs w:val="24"/>
        </w:rPr>
        <w:t>ABSTRAK</w:t>
      </w:r>
    </w:p>
    <w:p w:rsidR="00782383" w:rsidRDefault="00782383" w:rsidP="009B3EC8">
      <w:pPr>
        <w:widowControl/>
        <w:spacing w:after="120"/>
        <w:jc w:val="both"/>
        <w:rPr>
          <w:rFonts w:ascii="Palatino Linotype" w:hAnsi="Palatino Linotype"/>
          <w:color w:val="000000"/>
          <w:kern w:val="0"/>
          <w:sz w:val="20"/>
          <w:lang w:eastAsia="en-US"/>
        </w:rPr>
      </w:pPr>
      <w:r w:rsidRPr="00782383">
        <w:rPr>
          <w:rFonts w:ascii="Palatino Linotype" w:hAnsi="Palatino Linotype"/>
          <w:color w:val="000000"/>
          <w:kern w:val="0"/>
          <w:sz w:val="20"/>
          <w:lang w:val="id-ID" w:eastAsia="en-US"/>
        </w:rPr>
        <w:t xml:space="preserve">Pandemi Covid-19 sepanjang tahun 2020 menjadi suatu ujian bagi masyarakat dan pemerintah di mana dampaknya tidak hanya pada terbatasnya aktivitas sosial masyarakat namun juga berdampak terhadap perekonomian global dan domestik. Perekonomian mengalami tekanan baik dari sisi supply karena perusahaan tidak dapat beroperasi secara optimal maupun tekanan dari sisi demand karena mobilitas dan kegiatan ekonomi masyarakat berhenti. Ekonomi dan keuangan secara umum mengalami dampak dari sektor riil yang terdampak pandemi. Namun, keuangan syariah mampu menunjukkan memiliki resiliensi yang baik di tengah pandemi. Industri keuangan syariah secara konsisten tetap mencatatkan pertumbuhan positif hingga akhir tahun 2020. Ketahanan dan kinerja positif industri keuangan keuangan syariah tersebut ditopang oleh sejumlah kebijakan dan stimulus dari OJK yang bersifat </w:t>
      </w:r>
      <w:r w:rsidRPr="00782383">
        <w:rPr>
          <w:rFonts w:ascii="Palatino Linotype" w:hAnsi="Palatino Linotype"/>
          <w:i/>
          <w:iCs/>
          <w:color w:val="000000"/>
          <w:kern w:val="0"/>
          <w:sz w:val="20"/>
          <w:lang w:val="id-ID" w:eastAsia="en-US"/>
        </w:rPr>
        <w:t>pre-emptive, extraordinary</w:t>
      </w:r>
      <w:r w:rsidRPr="00782383">
        <w:rPr>
          <w:rFonts w:ascii="Palatino Linotype" w:hAnsi="Palatino Linotype"/>
          <w:color w:val="000000"/>
          <w:kern w:val="0"/>
          <w:sz w:val="20"/>
          <w:lang w:val="id-ID" w:eastAsia="en-US"/>
        </w:rPr>
        <w:t xml:space="preserve">, dan </w:t>
      </w:r>
      <w:r w:rsidRPr="00782383">
        <w:rPr>
          <w:rFonts w:ascii="Palatino Linotype" w:hAnsi="Palatino Linotype"/>
          <w:i/>
          <w:iCs/>
          <w:color w:val="000000"/>
          <w:kern w:val="0"/>
          <w:sz w:val="20"/>
          <w:lang w:val="id-ID" w:eastAsia="en-US"/>
        </w:rPr>
        <w:t>forward looking</w:t>
      </w:r>
      <w:r w:rsidRPr="00782383">
        <w:rPr>
          <w:rFonts w:ascii="Palatino Linotype" w:hAnsi="Palatino Linotype"/>
          <w:color w:val="000000"/>
          <w:kern w:val="0"/>
          <w:sz w:val="20"/>
          <w:lang w:val="id-ID" w:eastAsia="en-US"/>
        </w:rPr>
        <w:t xml:space="preserve">, yang didukung dengan kebijakan akomodatif dari Pemerintah dan Bank Indonesia. Tujuan dari penelitian ini adalah untuk menganalisis bagimana perkembangan industri keuangan syariah di masa Pandemi Covid-19. </w:t>
      </w:r>
      <w:r w:rsidRPr="00782383">
        <w:rPr>
          <w:rFonts w:ascii="Palatino Linotype" w:eastAsia="Times New Roman" w:hAnsi="Palatino Linotype"/>
          <w:color w:val="000000"/>
          <w:kern w:val="0"/>
          <w:sz w:val="20"/>
          <w:lang w:val="id-ID" w:eastAsia="en-US"/>
        </w:rPr>
        <w:t>Penelitian ini merupakan jenis penelitian kepustakaan (</w:t>
      </w:r>
      <w:r w:rsidRPr="00782383">
        <w:rPr>
          <w:rFonts w:ascii="Palatino Linotype" w:eastAsia="Times New Roman" w:hAnsi="Palatino Linotype"/>
          <w:i/>
          <w:iCs/>
          <w:color w:val="000000"/>
          <w:kern w:val="0"/>
          <w:sz w:val="20"/>
          <w:lang w:val="id-ID" w:eastAsia="en-US"/>
        </w:rPr>
        <w:t>library research</w:t>
      </w:r>
      <w:r w:rsidRPr="00782383">
        <w:rPr>
          <w:rFonts w:ascii="Palatino Linotype" w:eastAsia="Times New Roman" w:hAnsi="Palatino Linotype"/>
          <w:color w:val="000000"/>
          <w:kern w:val="0"/>
          <w:sz w:val="20"/>
          <w:lang w:val="id-ID" w:eastAsia="en-US"/>
        </w:rPr>
        <w:t>). Objek penelitian pada penelitian ini adalah</w:t>
      </w:r>
      <w:r w:rsidRPr="00782383">
        <w:rPr>
          <w:rFonts w:ascii="Palatino Linotype" w:eastAsia="Times New Roman" w:hAnsi="Palatino Linotype"/>
          <w:color w:val="000000"/>
          <w:kern w:val="0"/>
          <w:sz w:val="20"/>
          <w:lang w:val="id-ID" w:eastAsia="id-ID"/>
        </w:rPr>
        <w:t xml:space="preserve"> </w:t>
      </w:r>
      <w:r w:rsidRPr="00782383">
        <w:rPr>
          <w:rFonts w:ascii="Palatino Linotype" w:eastAsia="Times New Roman" w:hAnsi="Palatino Linotype"/>
          <w:color w:val="000000"/>
          <w:kern w:val="0"/>
          <w:sz w:val="20"/>
          <w:lang w:val="id-ID" w:eastAsia="en-US"/>
        </w:rPr>
        <w:t xml:space="preserve">perkembangan industri keuangan syariah di masa Pandemi Covid-19 </w:t>
      </w:r>
      <w:r w:rsidRPr="00782383">
        <w:rPr>
          <w:rFonts w:ascii="Palatino Linotype" w:hAnsi="Palatino Linotype"/>
          <w:color w:val="000000"/>
          <w:kern w:val="0"/>
          <w:sz w:val="20"/>
          <w:lang w:val="id-ID" w:eastAsia="en-US"/>
        </w:rPr>
        <w:t xml:space="preserve">Teknik pengumpulan data pada penelitian ini menggunakan teknik dokumentasi. Analisis data pada penelitian ini terdiri dari </w:t>
      </w:r>
      <w:r w:rsidRPr="00782383">
        <w:rPr>
          <w:rFonts w:ascii="Palatino Linotype" w:eastAsia="Times New Roman" w:hAnsi="Palatino Linotype"/>
          <w:color w:val="0D0D0D"/>
          <w:kern w:val="0"/>
          <w:sz w:val="20"/>
          <w:lang w:val="id-ID" w:eastAsia="en-US"/>
        </w:rPr>
        <w:t>dari reduksi data, kategorisasi data, sintesisasi dan menyusun hipotesis kerja.</w:t>
      </w:r>
      <w:r w:rsidRPr="00782383">
        <w:rPr>
          <w:rFonts w:ascii="Palatino Linotype" w:hAnsi="Palatino Linotype"/>
          <w:color w:val="000000"/>
          <w:kern w:val="0"/>
          <w:sz w:val="20"/>
          <w:lang w:val="id-ID" w:eastAsia="en-US"/>
        </w:rPr>
        <w:t xml:space="preserve"> Berdasarkan hasil penelitian dan pembahasan maka dapat disimpulkan bahwa industri keunagan syariah di masa Pandemi Covid-19 tumbuh positif sebesar 13,82% (yoy) menjadi Rp. 2.050,44 triliun meningkat dari tahun sebelumnya sebesar Rp. 1.801, 40 triliun. Pasar Modal Syariah yang memiliki porsi terbesar aset keuangan syariah </w:t>
      </w:r>
      <w:r w:rsidRPr="00782383">
        <w:rPr>
          <w:rFonts w:ascii="Palatino Linotype" w:hAnsi="Palatino Linotype"/>
          <w:color w:val="000000"/>
          <w:kern w:val="0"/>
          <w:sz w:val="20"/>
          <w:lang w:eastAsia="en-US"/>
        </w:rPr>
        <w:t>(60,27%) mengalami pertumbuhan tertinggi di antara sektor lainnya dengan laju 14,83% (yoy). Perbankan Syariah dengan pangsa pasar 33,83% dari keuangan syariah tumbuh sebesar 13,94% (yoy). Sementara itu, IKNB Syariah yang memiliki porsi sebesar 5,90% dari total aset keuangan syariah juga mengalami pertumbuhan sebesar 3,90% (yoy).</w:t>
      </w:r>
    </w:p>
    <w:p w:rsidR="00782383" w:rsidRPr="00782383" w:rsidRDefault="00782383" w:rsidP="009B3EC8">
      <w:pPr>
        <w:widowControl/>
        <w:spacing w:after="120"/>
        <w:jc w:val="both"/>
        <w:rPr>
          <w:rFonts w:ascii="Palatino Linotype" w:hAnsi="Palatino Linotype"/>
          <w:b/>
          <w:bCs/>
          <w:color w:val="000000"/>
          <w:kern w:val="0"/>
          <w:sz w:val="20"/>
          <w:lang w:val="id-ID" w:eastAsia="en-US"/>
        </w:rPr>
      </w:pPr>
      <w:r w:rsidRPr="00782383">
        <w:rPr>
          <w:rFonts w:ascii="Palatino Linotype" w:hAnsi="Palatino Linotype"/>
          <w:b/>
          <w:bCs/>
          <w:color w:val="000000"/>
          <w:kern w:val="0"/>
          <w:sz w:val="20"/>
          <w:lang w:val="id-ID" w:eastAsia="en-US"/>
        </w:rPr>
        <w:t>Kata Kunci: Industri, Keuangan, Syariah, Pandemi Covid-19.</w:t>
      </w:r>
    </w:p>
    <w:p w:rsidR="003D1C29" w:rsidRPr="00E215D6" w:rsidRDefault="003D1C29" w:rsidP="00252FC9">
      <w:pPr>
        <w:autoSpaceDE w:val="0"/>
        <w:autoSpaceDN w:val="0"/>
        <w:adjustRightInd w:val="0"/>
        <w:spacing w:after="120"/>
        <w:ind w:right="-1"/>
        <w:jc w:val="both"/>
        <w:rPr>
          <w:rFonts w:ascii="Palatino Linotype" w:hAnsi="Palatino Linotype"/>
          <w:sz w:val="20"/>
          <w:lang w:val="id-ID"/>
        </w:rPr>
      </w:pPr>
    </w:p>
    <w:p w:rsidR="00782383" w:rsidRDefault="00782383" w:rsidP="00B36CFF">
      <w:pPr>
        <w:autoSpaceDE w:val="0"/>
        <w:autoSpaceDN w:val="0"/>
        <w:adjustRightInd w:val="0"/>
        <w:spacing w:after="120"/>
        <w:jc w:val="center"/>
        <w:rPr>
          <w:rFonts w:ascii="Palatino Linotype" w:hAnsi="Palatino Linotype"/>
          <w:b/>
          <w:bCs/>
          <w:i/>
          <w:szCs w:val="24"/>
          <w:lang w:val="id-ID"/>
        </w:rPr>
      </w:pPr>
    </w:p>
    <w:p w:rsidR="00782383" w:rsidRDefault="00782383" w:rsidP="00B36CFF">
      <w:pPr>
        <w:autoSpaceDE w:val="0"/>
        <w:autoSpaceDN w:val="0"/>
        <w:adjustRightInd w:val="0"/>
        <w:spacing w:after="120"/>
        <w:jc w:val="center"/>
        <w:rPr>
          <w:rFonts w:ascii="Palatino Linotype" w:hAnsi="Palatino Linotype"/>
          <w:b/>
          <w:bCs/>
          <w:i/>
          <w:szCs w:val="24"/>
          <w:lang w:val="id-ID"/>
        </w:rPr>
      </w:pPr>
    </w:p>
    <w:p w:rsidR="00B36CFF" w:rsidRDefault="00B36CFF" w:rsidP="009B3EC8">
      <w:pPr>
        <w:autoSpaceDE w:val="0"/>
        <w:autoSpaceDN w:val="0"/>
        <w:adjustRightInd w:val="0"/>
        <w:spacing w:after="120"/>
        <w:jc w:val="center"/>
        <w:rPr>
          <w:rFonts w:ascii="Palatino Linotype" w:hAnsi="Palatino Linotype"/>
          <w:b/>
          <w:bCs/>
          <w:i/>
          <w:szCs w:val="24"/>
          <w:lang w:val="id-ID"/>
        </w:rPr>
      </w:pPr>
      <w:r w:rsidRPr="00E215D6">
        <w:rPr>
          <w:rFonts w:ascii="Palatino Linotype" w:hAnsi="Palatino Linotype"/>
          <w:b/>
          <w:bCs/>
          <w:i/>
          <w:szCs w:val="24"/>
          <w:lang w:val="id-ID"/>
        </w:rPr>
        <w:t>ABSTRACT</w:t>
      </w:r>
    </w:p>
    <w:p w:rsidR="00782383" w:rsidRPr="00782383" w:rsidRDefault="00782383" w:rsidP="009B3EC8">
      <w:pPr>
        <w:autoSpaceDE w:val="0"/>
        <w:autoSpaceDN w:val="0"/>
        <w:adjustRightInd w:val="0"/>
        <w:spacing w:after="120"/>
        <w:jc w:val="both"/>
        <w:rPr>
          <w:rFonts w:ascii="Palatino Linotype" w:hAnsi="Palatino Linotype"/>
          <w:iCs/>
          <w:sz w:val="20"/>
          <w:lang w:val="id-ID"/>
        </w:rPr>
      </w:pPr>
      <w:r w:rsidRPr="00782383">
        <w:rPr>
          <w:rFonts w:ascii="Palatino Linotype" w:hAnsi="Palatino Linotype"/>
          <w:iCs/>
          <w:sz w:val="20"/>
          <w:lang w:val="id-ID"/>
        </w:rPr>
        <w:t>The Covid-19 pandemic throughout 2020 became a test for the community and the government where the impact was not only limited to the social activities of the community but also had an impact on the global and domestic economy. The economy is under pressure from both the supply side because companies cannot operate optimally and pressure from the demand side because people's mobility and economic activities stop. The economy and finances in general experienced the impact of the real sector affected by the pandemic. However, Islamic finance is able to show good resilience in the midst of a pandemic. The Islamic finance industry has consistently recorded positive growth until the end of 2020. The resilience and positive performance of the Islamic finance industry is supported by a number of pre-emptive, extraordinary, and forward looking policies and stimulus from the OJK, supported by accommodative policies from the Government. and Bank Indonesia. The purpose of this study is to analyze how the development of the Islamic finance industry during the Covid-19 pandemic. This research is a type of library research. The object of research in this study is the development of the Islamic finance industry during the Covid-19 pandemic. The data collection technique in this study uses documentation techniques. Data analysis in this study consisted of data reduction, data categorization, synthesis and formulating working hypotheses. Based on the results of research and discussion, it can be concluded that the sharia financial industry during the Covid-19 pandemic grew positively by 13.82% (yoy) to Rp. 2,050.44 trillion, an increase from the previous year of Rp. 1801, 40 trillion. The Islamic Capital Market which has the largest share of Islamic financial assets (60.27%) experienced the highest growth among other sectors at a rate of 14.83% (yoy). Islamic banking with a market share of 33.83% of Islamic finance grew by 13.94% (yoy). Meanwhile, Sharia IKNB which has a portion of 5.90% of total Islamic financial assets also experienced growth of 3.90% (yoy).</w:t>
      </w:r>
    </w:p>
    <w:p w:rsidR="00782383" w:rsidRPr="00782383" w:rsidRDefault="00782383" w:rsidP="009B3EC8">
      <w:pPr>
        <w:autoSpaceDE w:val="0"/>
        <w:autoSpaceDN w:val="0"/>
        <w:adjustRightInd w:val="0"/>
        <w:spacing w:after="120"/>
        <w:jc w:val="both"/>
        <w:rPr>
          <w:rFonts w:ascii="Palatino Linotype" w:hAnsi="Palatino Linotype"/>
          <w:b/>
          <w:bCs/>
          <w:iCs/>
          <w:sz w:val="20"/>
          <w:lang w:val="id-ID"/>
        </w:rPr>
      </w:pPr>
      <w:r w:rsidRPr="00782383">
        <w:rPr>
          <w:rFonts w:ascii="Palatino Linotype" w:hAnsi="Palatino Linotype"/>
          <w:b/>
          <w:bCs/>
          <w:iCs/>
          <w:sz w:val="20"/>
          <w:lang w:val="id-ID"/>
        </w:rPr>
        <w:t>Keywords: Industry, Finance, Sharia, Covid-19 Pandemic</w:t>
      </w:r>
    </w:p>
    <w:p w:rsidR="00B36CFF" w:rsidRPr="00E215D6" w:rsidRDefault="00B36CFF" w:rsidP="00B36CFF">
      <w:pPr>
        <w:pStyle w:val="HTMLPreformatted"/>
        <w:shd w:val="clear" w:color="auto" w:fill="FFFFFF"/>
        <w:rPr>
          <w:rFonts w:ascii="Palatino Linotype" w:hAnsi="Palatino Linotype" w:cs="Times New Roman"/>
          <w:lang w:val="id-ID"/>
        </w:rPr>
      </w:pPr>
    </w:p>
    <w:p w:rsidR="00B36CFF" w:rsidRPr="009B3EC8" w:rsidRDefault="00B36CFF" w:rsidP="009B3EC8">
      <w:pPr>
        <w:spacing w:after="120"/>
        <w:rPr>
          <w:rFonts w:ascii="Palatino Linotype" w:hAnsi="Palatino Linotype"/>
          <w:b/>
          <w:szCs w:val="24"/>
          <w:lang w:val="id-ID"/>
        </w:rPr>
      </w:pPr>
      <w:r w:rsidRPr="009B3EC8">
        <w:rPr>
          <w:rFonts w:ascii="Palatino Linotype" w:hAnsi="Palatino Linotype"/>
          <w:b/>
          <w:szCs w:val="24"/>
        </w:rPr>
        <w:t>PENDAHULUAN</w:t>
      </w:r>
      <w:r w:rsidR="00FC32E4" w:rsidRPr="009B3EC8">
        <w:rPr>
          <w:rFonts w:ascii="Palatino Linotype" w:hAnsi="Palatino Linotype"/>
          <w:b/>
          <w:szCs w:val="24"/>
          <w:lang w:val="id-ID"/>
        </w:rPr>
        <w:t xml:space="preserve"> </w:t>
      </w:r>
      <w:r w:rsidR="00FC32E4" w:rsidRPr="009B3EC8">
        <w:rPr>
          <w:rFonts w:ascii="Palatino Linotype" w:hAnsi="Palatino Linotype"/>
          <w:szCs w:val="24"/>
        </w:rPr>
        <w:t>(</w:t>
      </w:r>
      <w:r w:rsidR="00FC32E4" w:rsidRPr="009B3EC8">
        <w:rPr>
          <w:rFonts w:ascii="Palatino Linotype" w:hAnsi="Palatino Linotype"/>
          <w:b/>
          <w:szCs w:val="24"/>
          <w:lang w:val="id-ID"/>
        </w:rPr>
        <w:t>Palatino Linotype</w:t>
      </w:r>
      <w:r w:rsidR="00FC32E4" w:rsidRPr="009B3EC8">
        <w:rPr>
          <w:rFonts w:ascii="Palatino Linotype" w:hAnsi="Palatino Linotype"/>
          <w:szCs w:val="24"/>
        </w:rPr>
        <w:t xml:space="preserve"> </w:t>
      </w:r>
      <w:r w:rsidR="00FC32E4" w:rsidRPr="009B3EC8">
        <w:rPr>
          <w:rFonts w:ascii="Palatino Linotype" w:hAnsi="Palatino Linotype"/>
          <w:szCs w:val="24"/>
          <w:lang w:val="id-ID"/>
        </w:rPr>
        <w:t>1</w:t>
      </w:r>
      <w:r w:rsidR="00FC32E4" w:rsidRPr="009B3EC8">
        <w:rPr>
          <w:rFonts w:ascii="Palatino Linotype" w:hAnsi="Palatino Linotype"/>
          <w:szCs w:val="24"/>
        </w:rPr>
        <w:t>2</w:t>
      </w:r>
      <w:r w:rsidR="00FC32E4" w:rsidRPr="009B3EC8">
        <w:rPr>
          <w:rFonts w:ascii="Palatino Linotype" w:hAnsi="Palatino Linotype"/>
          <w:szCs w:val="24"/>
          <w:lang w:val="id-ID"/>
        </w:rPr>
        <w:t xml:space="preserve">, Bold, spasi 1, spacing </w:t>
      </w:r>
      <w:r w:rsidR="00FC32E4" w:rsidRPr="009B3EC8">
        <w:rPr>
          <w:rFonts w:ascii="Palatino Linotype" w:hAnsi="Palatino Linotype"/>
          <w:szCs w:val="24"/>
        </w:rPr>
        <w:t>6</w:t>
      </w:r>
      <w:r w:rsidR="00FC32E4" w:rsidRPr="009B3EC8">
        <w:rPr>
          <w:rFonts w:ascii="Palatino Linotype" w:hAnsi="Palatino Linotype"/>
          <w:szCs w:val="24"/>
          <w:lang w:val="id-ID"/>
        </w:rPr>
        <w:t xml:space="preserve"> pt)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Dalam rangka mendukung Pemulihan Ekonomi Nasional ke depan, seluruh pelaku jasa keuangan dinilai perlu untuk melanjutkan berbagai upaya dan kebijakan yang mendorong ketahanan dan daya saing keuangan syariah. Oleh karena itu, pengembangan ekonomi dan keuangan syariah perlu diperkuat, antara lain melalui penguatan kelembagaan, sinergi dan kolaborasi dengan berbagai pihak, mendorong penguatan infrastruktur keuangan syariah di antaranya melalui digitalisasi produk dan layanan lembaga jasa keuangan syariah, pengembangan ekosistem ekonomi dan keuangan syariah, serta meningkatkan awareness pelaku usaha dan masyarakat terhadap ekonomi dan keuangan syariah. Hal-hal tersebut </w:t>
      </w:r>
      <w:r w:rsidRPr="009B3EC8">
        <w:rPr>
          <w:rFonts w:ascii="Palatino Linotype" w:hAnsi="Palatino Linotype"/>
          <w:color w:val="000000"/>
          <w:kern w:val="0"/>
          <w:szCs w:val="24"/>
          <w:lang w:val="id-ID" w:eastAsia="en-US"/>
        </w:rPr>
        <w:lastRenderedPageBreak/>
        <w:t xml:space="preserve">terintegrasi dalam suatu ekosistem pengembangan ekonomi dan keuangan syariah di Indonesia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eastAsia="Times New Roman" w:hAnsi="Palatino Linotype"/>
          <w:color w:val="000000"/>
          <w:kern w:val="0"/>
          <w:szCs w:val="24"/>
          <w:lang w:val="id-ID" w:eastAsia="en-US"/>
        </w:rPr>
      </w:pPr>
      <w:r w:rsidRPr="009B3EC8">
        <w:rPr>
          <w:rFonts w:ascii="Palatino Linotype" w:hAnsi="Palatino Linotype"/>
          <w:color w:val="000000"/>
          <w:kern w:val="0"/>
          <w:szCs w:val="24"/>
          <w:lang w:eastAsia="en-US"/>
        </w:rPr>
        <w:t>Di Indonesia, Lembaga Keuangan Syariah sendiri bermula dari pendirian Koperasi Ridha Gusti di Jakarta dan Baitut Tamwil-Salman di Bandung pada tahun 1980-an</w:t>
      </w:r>
      <w:r w:rsidRPr="009B3EC8">
        <w:rPr>
          <w:rFonts w:ascii="Palatino Linotype" w:eastAsia="Times New Roman" w:hAnsi="Palatino Linotype"/>
          <w:color w:val="000000"/>
          <w:kern w:val="0"/>
          <w:szCs w:val="24"/>
          <w:lang w:val="id-ID" w:eastAsia="en-US"/>
        </w:rPr>
        <w:t xml:space="preserve">. Sistem perbankan syaraiah di Indonesia baru dikenal pada tahun 1990 melalui kajian intensif yang dilakukan oleh para ulama dan cendikiawan Muslim yang bergabung dalam organisasi Majelis Ulama Indonesia (MUI) dan Ikatan Cendikiawan Muslim Indonesia (ICMI). Kedua lembaga ini mengadakan konfrensi dengan tema “sistem perbankan tanpa bunga”. konfrensi ini didasarkan atas desakan mayarakat Muslim untuk membentuk suatu bank yang bisa menawarkan produk dan jasa yang tidak mengandung riba. Dan akhirnya pada konfrensi yang ke-4 tanggal 22-25 Agustus 1990 disepakati untuk membentuk tim kerja pendirian bank syariah pertama di Indonesia </w:t>
      </w:r>
      <w:r w:rsidRPr="009B3EC8">
        <w:rPr>
          <w:rFonts w:ascii="Palatino Linotype" w:eastAsia="Times New Roman" w:hAnsi="Palatino Linotype"/>
          <w:color w:val="000000"/>
          <w:kern w:val="0"/>
          <w:szCs w:val="24"/>
          <w:lang w:val="id-ID" w:eastAsia="en-US"/>
        </w:rPr>
        <w:fldChar w:fldCharType="begin" w:fldLock="1"/>
      </w:r>
      <w:r w:rsidRPr="009B3EC8">
        <w:rPr>
          <w:rFonts w:ascii="Palatino Linotype" w:eastAsia="Times New Roman" w:hAnsi="Palatino Linotype"/>
          <w:color w:val="000000"/>
          <w:kern w:val="0"/>
          <w:szCs w:val="24"/>
          <w:lang w:val="id-ID" w:eastAsia="en-US"/>
        </w:rPr>
        <w:instrText>ADDIN CSL_CITATION {"citationItems":[{"id":"ITEM-1","itemData":{"DOI":"10.31958/juris.v14i2.305","ISSN":"1412-6109","abstract":"Sharia banking in Indonesia has approached 24 years of age. This age implies that it such sharia banking has shifted to maturity phase. It has developed significantly compared to that of previous years. It can be observed from its average growth of its assets, DPK, PYD which is 45% higher than the years of 2000 up to 2014. However, it is expected that it must able to make use of opportunities which are presently available to encounter challenges in the future, Consequently, it should be able to take advantage of supports and contributions of other such related parties as government, ulama, society, academicians, and students majoring in sharia banking as well.","author":[{"dropping-particle":"","family":"Nofinawati","given":"Nofinawati","non-dropping-particle":"","parse-names":false,"suffix":""}],"container-title":"JURIS (Jurnal Ilmiah Syariah)","id":"ITEM-1","issue":"2","issued":{"date-parts":[["2016"]]},"page":"168","title":"Perkembangan Perbankan Syariah Di Indonesia","type":"article-journal","volume":"14"},"uris":["http://www.mendeley.com/documents/?uuid=4e004ac8-6b4e-4927-8068-a6c69fbb4389"]}],"mendeley":{"formattedCitation":"(Nofinawati, 2016)","plainTextFormattedCitation":"(Nofinawati, 2016)","previouslyFormattedCitation":"(Nofinawati, 2016)"},"properties":{"noteIndex":0},"schema":"https://github.com/citation-style-language/schema/raw/master/csl-citation.json"}</w:instrText>
      </w:r>
      <w:r w:rsidRPr="009B3EC8">
        <w:rPr>
          <w:rFonts w:ascii="Palatino Linotype" w:eastAsia="Times New Roman" w:hAnsi="Palatino Linotype"/>
          <w:color w:val="000000"/>
          <w:kern w:val="0"/>
          <w:szCs w:val="24"/>
          <w:lang w:val="id-ID" w:eastAsia="en-US"/>
        </w:rPr>
        <w:fldChar w:fldCharType="separate"/>
      </w:r>
      <w:r w:rsidRPr="009B3EC8">
        <w:rPr>
          <w:rFonts w:ascii="Palatino Linotype" w:eastAsia="Times New Roman" w:hAnsi="Palatino Linotype"/>
          <w:noProof/>
          <w:color w:val="000000"/>
          <w:kern w:val="0"/>
          <w:szCs w:val="24"/>
          <w:lang w:val="id-ID" w:eastAsia="en-US"/>
        </w:rPr>
        <w:t>(Nofinawati, 2016)</w:t>
      </w:r>
      <w:r w:rsidRPr="009B3EC8">
        <w:rPr>
          <w:rFonts w:ascii="Palatino Linotype" w:eastAsia="Times New Roman" w:hAnsi="Palatino Linotype"/>
          <w:color w:val="000000"/>
          <w:kern w:val="0"/>
          <w:szCs w:val="24"/>
          <w:lang w:val="id-ID" w:eastAsia="en-US"/>
        </w:rPr>
        <w:fldChar w:fldCharType="end"/>
      </w:r>
      <w:r w:rsidRPr="009B3EC8">
        <w:rPr>
          <w:rFonts w:ascii="Palatino Linotype" w:eastAsia="Times New Roman"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eastAsia="Times New Roman" w:hAnsi="Palatino Linotype"/>
          <w:color w:val="000000"/>
          <w:kern w:val="0"/>
          <w:szCs w:val="24"/>
          <w:lang w:val="id-ID" w:eastAsia="en-US"/>
        </w:rPr>
      </w:pPr>
      <w:r w:rsidRPr="009B3EC8">
        <w:rPr>
          <w:rFonts w:ascii="Palatino Linotype" w:eastAsia="Times New Roman" w:hAnsi="Palatino Linotype"/>
          <w:color w:val="000000"/>
          <w:kern w:val="0"/>
          <w:szCs w:val="24"/>
          <w:lang w:val="id-ID" w:eastAsia="en-US"/>
        </w:rPr>
        <w:t xml:space="preserve">Dalam perkembangannya, kurun waktu tahun 1992-1998, perkembangan bank syariah secara kuantitas </w:t>
      </w:r>
      <w:r w:rsidRPr="009B3EC8">
        <w:rPr>
          <w:rFonts w:ascii="Palatino Linotype" w:hAnsi="Palatino Linotype"/>
          <w:color w:val="000000"/>
          <w:kern w:val="0"/>
          <w:szCs w:val="24"/>
          <w:lang w:val="id-ID" w:eastAsia="en-US"/>
        </w:rPr>
        <w:t>kurang</w:t>
      </w:r>
      <w:r w:rsidRPr="009B3EC8">
        <w:rPr>
          <w:rFonts w:ascii="Palatino Linotype" w:eastAsia="Times New Roman" w:hAnsi="Palatino Linotype"/>
          <w:color w:val="000000"/>
          <w:kern w:val="0"/>
          <w:szCs w:val="24"/>
          <w:lang w:val="id-ID" w:eastAsia="en-US"/>
        </w:rPr>
        <w:t xml:space="preserve"> membahagiakan. Pada saat itu hanya terdapat satu bank syariah dan 78 Bank Perkreditan Rakyat Syariah (BPRS) yang beroperasi dalam kurun waktu enam tahun. Namun dari segi kualitas, bank syariah menunjukan kinerja yang sangat baik. Bank syariah tidak terkena dampak krisis ekonomi Asia pada tahun 1998, sementara bank konvensional justru sebaliknya. Ada sekitar 17 bank konvensional yang  mengalami kebangkrutan dan akhirnya harus ditutup demi menghindari dampak serius akibat krisis keuangan pada tahun 1998 tersebut </w:t>
      </w:r>
      <w:r w:rsidRPr="009B3EC8">
        <w:rPr>
          <w:rFonts w:ascii="Palatino Linotype" w:eastAsia="Times New Roman" w:hAnsi="Palatino Linotype"/>
          <w:color w:val="000000"/>
          <w:kern w:val="0"/>
          <w:szCs w:val="24"/>
          <w:lang w:val="id-ID" w:eastAsia="en-US"/>
        </w:rPr>
        <w:fldChar w:fldCharType="begin" w:fldLock="1"/>
      </w:r>
      <w:r w:rsidRPr="009B3EC8">
        <w:rPr>
          <w:rFonts w:ascii="Palatino Linotype" w:eastAsia="Times New Roman" w:hAnsi="Palatino Linotype"/>
          <w:color w:val="000000"/>
          <w:kern w:val="0"/>
          <w:szCs w:val="24"/>
          <w:lang w:val="id-ID" w:eastAsia="en-US"/>
        </w:rPr>
        <w:instrText>ADDIN CSL_CITATION {"citationItems":[{"id":"ITEM-1","itemData":{"abstract":"Current statistic shows that Southeast Asia region has transformed as leading center for global Islamic financial industry. Indonesia and Malaysia are the leading countries for Islamic finance industry in the region. The study aims to provide a descriptive analysis of Islamic finance development in Souheast Asia countries, namely Indonesia, Malaysia, Brunei Darussala, Singapore, Thailand, and Philipine. The study focuses on the history and regulatory analysis for Islamic finance industry across jurisdiction. It finds that the regulation governs for Islamic financial institutions in each countries are varies. These differences will be a challenge in creation of Islamic finance integration as a part of ASEAN economic integration programm.","author":[{"dropping-particle":"","family":"Rama","given":"Ali","non-dropping-particle":"","parse-names":false,"suffix":""}],"container-title":"Journal of Tauhidinomics","id":"ITEM-1","issue":"1","issued":{"date-parts":[["2015"]]},"page":"1-25","title":"Analisis Deskriptif Perkembangan Perbankan Syariah di Asia Tenggara","type":"article-journal","volume":"1"},"uris":["http://www.mendeley.com/documents/?uuid=ff4374f7-1567-4eab-948a-a42674f3b5d6"]}],"mendeley":{"formattedCitation":"(Rama, 2015)","plainTextFormattedCitation":"(Rama, 2015)","previouslyFormattedCitation":"(Rama, 2015)"},"properties":{"noteIndex":0},"schema":"https://github.com/citation-style-language/schema/raw/master/csl-citation.json"}</w:instrText>
      </w:r>
      <w:r w:rsidRPr="009B3EC8">
        <w:rPr>
          <w:rFonts w:ascii="Palatino Linotype" w:eastAsia="Times New Roman" w:hAnsi="Palatino Linotype"/>
          <w:color w:val="000000"/>
          <w:kern w:val="0"/>
          <w:szCs w:val="24"/>
          <w:lang w:val="id-ID" w:eastAsia="en-US"/>
        </w:rPr>
        <w:fldChar w:fldCharType="separate"/>
      </w:r>
      <w:r w:rsidRPr="009B3EC8">
        <w:rPr>
          <w:rFonts w:ascii="Palatino Linotype" w:eastAsia="Times New Roman" w:hAnsi="Palatino Linotype"/>
          <w:noProof/>
          <w:color w:val="000000"/>
          <w:kern w:val="0"/>
          <w:szCs w:val="24"/>
          <w:lang w:val="id-ID" w:eastAsia="en-US"/>
        </w:rPr>
        <w:t>(Rama, 2015)</w:t>
      </w:r>
      <w:r w:rsidRPr="009B3EC8">
        <w:rPr>
          <w:rFonts w:ascii="Palatino Linotype" w:eastAsia="Times New Roman" w:hAnsi="Palatino Linotype"/>
          <w:color w:val="000000"/>
          <w:kern w:val="0"/>
          <w:szCs w:val="24"/>
          <w:lang w:val="id-ID" w:eastAsia="en-US"/>
        </w:rPr>
        <w:fldChar w:fldCharType="end"/>
      </w:r>
      <w:r w:rsidRPr="009B3EC8">
        <w:rPr>
          <w:rFonts w:ascii="Palatino Linotype" w:eastAsia="Times New Roman"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eastAsia="Times New Roman" w:hAnsi="Palatino Linotype"/>
          <w:color w:val="000000"/>
          <w:kern w:val="0"/>
          <w:szCs w:val="24"/>
          <w:lang w:val="id-ID" w:eastAsia="en-US"/>
        </w:rPr>
      </w:pPr>
      <w:r w:rsidRPr="009B3EC8">
        <w:rPr>
          <w:rFonts w:ascii="Palatino Linotype" w:eastAsia="Times New Roman" w:hAnsi="Palatino Linotype"/>
          <w:color w:val="000000"/>
          <w:kern w:val="0"/>
          <w:szCs w:val="24"/>
          <w:lang w:val="id-ID" w:eastAsia="en-US"/>
        </w:rPr>
        <w:t xml:space="preserve">Seiring berjalannya waktu, secara kuantitas perbankan syariah berkembang dengan sangat pesat. Menurut data Statistik Perbankan Syariah per bulan Maret tahun 2019 terdapat: 1) 12 Bank Umum Syariah yang terdiri dari 491 kantor pusat operasional/kantor cabang, 1859 kantor cabang pembantu/unit pelayanan syariah dan 282 kantor kas. 2) 21 Unit Usaha Syariah yang terdiri dari 177 kantor pusat operasional/kantor cabang, 201 kantor cabang pembantu/unit pelayanan syariah dan 66 kantor kas. 3) Bank Pembiayaan Rakyat Syariah yang terdiri dari 164 kantor pusat operasional/kantor cabang dan 663 kantor kas </w:t>
      </w:r>
      <w:r w:rsidRPr="009B3EC8">
        <w:rPr>
          <w:rFonts w:ascii="Palatino Linotype" w:eastAsia="Times New Roman" w:hAnsi="Palatino Linotype"/>
          <w:color w:val="000000"/>
          <w:kern w:val="0"/>
          <w:szCs w:val="24"/>
          <w:lang w:val="id-ID" w:eastAsia="en-US"/>
        </w:rPr>
        <w:fldChar w:fldCharType="begin" w:fldLock="1"/>
      </w:r>
      <w:r w:rsidRPr="009B3EC8">
        <w:rPr>
          <w:rFonts w:ascii="Palatino Linotype" w:eastAsia="Times New Roman" w:hAnsi="Palatino Linotype"/>
          <w:color w:val="000000"/>
          <w:kern w:val="0"/>
          <w:szCs w:val="24"/>
          <w:lang w:val="id-ID" w:eastAsia="en-US"/>
        </w:rPr>
        <w:instrText>ADDIN CSL_CITATION {"citationItems":[{"id":"ITEM-1","itemData":{"author":[{"dropping-particle":"","family":"Otoritas Jasa Keuangan","given":"","non-dropping-particle":"","parse-names":false,"suffix":""}],"id":"ITEM-1","issued":{"date-parts":[["2022"]]},"publisher-place":"Jakarta","title":"Statistik Perbankan Syariah Maret 2022","type":"report"},"uris":["http://www.mendeley.com/documents/?uuid=78ed46cd-5013-421c-a123-29571988ec57"]}],"mendeley":{"formattedCitation":"(Otoritas Jasa Keuangan, 2022)","plainTextFormattedCitation":"(Otoritas Jasa Keuangan, 2022)","previouslyFormattedCitation":"(Otoritas Jasa Keuangan, 2022)"},"properties":{"noteIndex":0},"schema":"https://github.com/citation-style-language/schema/raw/master/csl-citation.json"}</w:instrText>
      </w:r>
      <w:r w:rsidRPr="009B3EC8">
        <w:rPr>
          <w:rFonts w:ascii="Palatino Linotype" w:eastAsia="Times New Roman" w:hAnsi="Palatino Linotype"/>
          <w:color w:val="000000"/>
          <w:kern w:val="0"/>
          <w:szCs w:val="24"/>
          <w:lang w:val="id-ID" w:eastAsia="en-US"/>
        </w:rPr>
        <w:fldChar w:fldCharType="separate"/>
      </w:r>
      <w:r w:rsidRPr="009B3EC8">
        <w:rPr>
          <w:rFonts w:ascii="Palatino Linotype" w:eastAsia="Times New Roman" w:hAnsi="Palatino Linotype"/>
          <w:noProof/>
          <w:color w:val="000000"/>
          <w:kern w:val="0"/>
          <w:szCs w:val="24"/>
          <w:lang w:val="id-ID" w:eastAsia="en-US"/>
        </w:rPr>
        <w:t>(Otoritas Jasa Keuangan, 2022)</w:t>
      </w:r>
      <w:r w:rsidRPr="009B3EC8">
        <w:rPr>
          <w:rFonts w:ascii="Palatino Linotype" w:eastAsia="Times New Roman" w:hAnsi="Palatino Linotype"/>
          <w:color w:val="000000"/>
          <w:kern w:val="0"/>
          <w:szCs w:val="24"/>
          <w:lang w:val="id-ID" w:eastAsia="en-US"/>
        </w:rPr>
        <w:fldChar w:fldCharType="end"/>
      </w:r>
      <w:r w:rsidRPr="009B3EC8">
        <w:rPr>
          <w:rFonts w:ascii="Palatino Linotype" w:eastAsia="Times New Roman" w:hAnsi="Palatino Linotype"/>
          <w:color w:val="000000"/>
          <w:kern w:val="0"/>
          <w:szCs w:val="24"/>
          <w:lang w:val="id-ID" w:eastAsia="en-US"/>
        </w:rPr>
        <w:t xml:space="preserve">. Maraknya perbankan syariah bukan merupakan fenomena baru dalam dunia bisnis syariah. Hal ini dikarenakan semangat yang tinggi dari </w:t>
      </w:r>
      <w:r w:rsidRPr="009B3EC8">
        <w:rPr>
          <w:rFonts w:ascii="Palatino Linotype" w:eastAsia="Times New Roman" w:hAnsi="Palatino Linotype"/>
          <w:color w:val="000000"/>
          <w:kern w:val="0"/>
          <w:szCs w:val="24"/>
          <w:lang w:val="id-ID" w:eastAsia="en-US"/>
        </w:rPr>
        <w:lastRenderedPageBreak/>
        <w:t xml:space="preserve">berbagai kalangan seperti ulama, akademisi, praktisi untuk membangun perbankan tersebut. </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val="id-ID" w:eastAsia="en-US"/>
        </w:rPr>
        <w:t xml:space="preserve">Lembaga keuangan memiliki prinsip-prinsip dalam operasionalnya, antara lain: prinsip keadilan, yaitu imbalan berdasarkan bagi hasil dan tingkat keuntungan ditentukan berdasarkan kesepakatan bersama antara bank dan nasabah; prinsip kesetaraan, yaitu, nasabah adalah penyimpan dana dan pengguna dana, hak kewajiban, dan risiko serta manfaat bank yang ditanggung adalah prinsip keseimbangan dan ketenangan, yaitu produk perbankan syariah mengikuti prinsip dan aturan muamalah syariah tanpa riba dan menerapkan zakat untuk aset. </w:t>
      </w:r>
      <w:r w:rsidRPr="009B3EC8">
        <w:rPr>
          <w:rFonts w:ascii="Palatino Linotype" w:hAnsi="Palatino Linotype"/>
          <w:color w:val="000000"/>
          <w:kern w:val="0"/>
          <w:szCs w:val="24"/>
          <w:lang w:eastAsia="en-US"/>
        </w:rPr>
        <w:t>Prinsip transparansi, yaitu lembaga keuangan syariah akan memberikan laporan keuangan secara terbuka dan berkelanjutan sehingga investor dan klien dapat memahami status keuangan mereka; prinsip universal berarti tidak membedakan ras, agama, ras, dan golongan dalam masyarakat sesuai dengan prinsip</w:t>
      </w:r>
      <w:r w:rsidRPr="009B3EC8">
        <w:rPr>
          <w:rFonts w:ascii="Palatino Linotype" w:hAnsi="Palatino Linotype"/>
          <w:color w:val="000000"/>
          <w:kern w:val="0"/>
          <w:szCs w:val="24"/>
          <w:lang w:val="id-ID" w:eastAsia="en-US"/>
        </w:rPr>
        <w:t>-</w:t>
      </w:r>
      <w:r w:rsidRPr="009B3EC8">
        <w:rPr>
          <w:rFonts w:ascii="Palatino Linotype" w:hAnsi="Palatino Linotype"/>
          <w:color w:val="000000"/>
          <w:kern w:val="0"/>
          <w:szCs w:val="24"/>
          <w:lang w:eastAsia="en-US"/>
        </w:rPr>
        <w:t>prinsip Islam, seperti rahmatan lil alamin</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{"citationItems":[{"id":"ITEM-1","itemData":{"abstract":"… Prinsip transparansi, yaitu lembaga keuangan syariah akan memberikan laporan keuangan secara terbuka dan berkelanjutan sehingga investor dan klien dapat memahami status …","author":[{"dropping-particle":"","family":"Pratiwi","given":"Dita Ayu","non-dropping-particle":"","parse-names":false,"suffix":""}],"container-title":"Asas: Jurnal Hukum Ekonomi Syari'ah","id":"ITEM-1","issue":"3","issued":{"date-parts":[["2020"]]},"page":"10","title":"Peran Lembaga Keuangan Syariah dalam Menghadapi Pandemi Covid-19","type":"article-journal","volume":"19"},"uris":["http://www.mendeley.com/documents/?uuid=d2fa4b10-a793-4683-9bb2-05c336205053"]}],"mendeley":{"formattedCitation":"(Pratiwi, 2020)","plainTextFormattedCitation":"(Pratiwi, 2020)","previouslyFormattedCitation":"(Pratiwi, 2020)"},"properties":{"noteIndex":0},"schema":"https://github.com/citation-style-language/schema/raw/master/csl-citation.json"}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(Pratiwi, 2020)</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eastAsia="en-US"/>
        </w:rPr>
        <w:t xml:space="preserve">Di Indonesia kasus pertama Covid-19 dimumumkan pada tanggal 2 Maret 2020 terkonfirmasi positif Covid-19 pada dua warga depok, Jawa Barat, yang berawal dari suatu acara di Jakarta dimana penderita kontak langsung dengan seorang warga negara asing (WNA) asal </w:t>
      </w:r>
      <w:r w:rsidRPr="009B3EC8">
        <w:rPr>
          <w:rFonts w:ascii="Palatino Linotype" w:hAnsi="Palatino Linotype"/>
          <w:color w:val="000000"/>
          <w:kern w:val="0"/>
          <w:szCs w:val="24"/>
          <w:lang w:val="id-ID" w:eastAsia="en-US"/>
        </w:rPr>
        <w:t>J</w:t>
      </w:r>
      <w:r w:rsidRPr="009B3EC8">
        <w:rPr>
          <w:rFonts w:ascii="Palatino Linotype" w:hAnsi="Palatino Linotype"/>
          <w:color w:val="000000"/>
          <w:kern w:val="0"/>
          <w:szCs w:val="24"/>
          <w:lang w:eastAsia="en-US"/>
        </w:rPr>
        <w:t xml:space="preserve">epang yang tinggal di </w:t>
      </w:r>
      <w:r w:rsidRPr="009B3EC8">
        <w:rPr>
          <w:rFonts w:ascii="Palatino Linotype" w:hAnsi="Palatino Linotype"/>
          <w:color w:val="000000"/>
          <w:kern w:val="0"/>
          <w:szCs w:val="24"/>
          <w:lang w:val="id-ID" w:eastAsia="en-US"/>
        </w:rPr>
        <w:t>M</w:t>
      </w:r>
      <w:r w:rsidRPr="009B3EC8">
        <w:rPr>
          <w:rFonts w:ascii="Palatino Linotype" w:hAnsi="Palatino Linotype"/>
          <w:color w:val="000000"/>
          <w:kern w:val="0"/>
          <w:szCs w:val="24"/>
          <w:lang w:eastAsia="en-US"/>
        </w:rPr>
        <w:t xml:space="preserve">alaysia. Setelah pertemuan tersebut penderita mengeluhkan demam, batuk dan sesak napas.4 Serangan Covid-19 pada awal maret 2020 tentu sangat terasa dampaknya, menyikapi pandemi Covid-19 kebijakan mulai dimunculkan, mulai penerapan </w:t>
      </w:r>
      <w:r w:rsidRPr="009B3EC8">
        <w:rPr>
          <w:rFonts w:ascii="Palatino Linotype" w:hAnsi="Palatino Linotype"/>
          <w:i/>
          <w:iCs/>
          <w:color w:val="000000"/>
          <w:kern w:val="0"/>
          <w:szCs w:val="24"/>
          <w:lang w:eastAsia="en-US"/>
        </w:rPr>
        <w:t>Work From Home</w:t>
      </w:r>
      <w:r w:rsidRPr="009B3EC8">
        <w:rPr>
          <w:rFonts w:ascii="Palatino Linotype" w:hAnsi="Palatino Linotype"/>
          <w:color w:val="000000"/>
          <w:kern w:val="0"/>
          <w:szCs w:val="24"/>
          <w:lang w:eastAsia="en-US"/>
        </w:rPr>
        <w:t xml:space="preserve"> (WFH) diantara bentuk upaya yang diserukan dan dilakukan oleh dunia untuk mengurangi penyebaran Covid-19 ini adalah dengan </w:t>
      </w:r>
      <w:r w:rsidRPr="009B3EC8">
        <w:rPr>
          <w:rFonts w:ascii="Palatino Linotype" w:hAnsi="Palatino Linotype"/>
          <w:i/>
          <w:iCs/>
          <w:color w:val="000000"/>
          <w:kern w:val="0"/>
          <w:szCs w:val="24"/>
          <w:lang w:val="id-ID" w:eastAsia="en-US"/>
        </w:rPr>
        <w:t>S</w:t>
      </w:r>
      <w:r w:rsidRPr="009B3EC8">
        <w:rPr>
          <w:rFonts w:ascii="Palatino Linotype" w:hAnsi="Palatino Linotype"/>
          <w:i/>
          <w:iCs/>
          <w:color w:val="000000"/>
          <w:kern w:val="0"/>
          <w:szCs w:val="24"/>
          <w:lang w:eastAsia="en-US"/>
        </w:rPr>
        <w:t>ocial</w:t>
      </w:r>
      <w:r w:rsidRPr="009B3EC8">
        <w:rPr>
          <w:rFonts w:ascii="Palatino Linotype" w:hAnsi="Palatino Linotype"/>
          <w:color w:val="000000"/>
          <w:kern w:val="0"/>
          <w:szCs w:val="24"/>
          <w:lang w:eastAsia="en-US"/>
        </w:rPr>
        <w:t xml:space="preserve"> atau </w:t>
      </w:r>
      <w:r w:rsidRPr="009B3EC8">
        <w:rPr>
          <w:rFonts w:ascii="Palatino Linotype" w:hAnsi="Palatino Linotype"/>
          <w:i/>
          <w:iCs/>
          <w:color w:val="000000"/>
          <w:kern w:val="0"/>
          <w:szCs w:val="24"/>
          <w:lang w:eastAsia="en-US"/>
        </w:rPr>
        <w:t>Physical Distancing</w:t>
      </w:r>
      <w:r w:rsidRPr="009B3EC8">
        <w:rPr>
          <w:rFonts w:ascii="Palatino Linotype" w:hAnsi="Palatino Linotype"/>
          <w:color w:val="000000"/>
          <w:kern w:val="0"/>
          <w:szCs w:val="24"/>
          <w:lang w:eastAsia="en-US"/>
        </w:rPr>
        <w:t>, sampai diberlakukan Pembatasan Sosial Bersekala Besar (PSBB) namun sayangnya, gerakan tersebut berpengaruh pada penurunan aktivitas ekonomi secara keseluruhan</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{"citationItems":[{"id":"ITEM-1","itemData":{"abstract":"Tulisanini    dilakukan    dengan    tujuan    untuk    memaparkan tantangan Perbankan  Syariahdalam  menghadapi  pandemiCovid-19  di  Indonesia.Penelitian  ini  menggunakan  metode deskriftif  kualitatif  dengan  menelaah sumber-sumber   tertulis   seperti   jurnal   ilmiah,   buku   referensi,   literature, ensiklopedia, karangan ilmiah, karya ilmuah serta sumber-sumber lain baik dalam    bentuktulisan   atau    dalam    format    digital    yang    relevan    dan berhubungan  dengan  objek  kajian  penelitian  ini  adalah  berupa  teks-teks atau   tulisan-tulisan   yang   menggambarkan   dan   memaparkan   tentang Tantangan Perbankan Syariah Dalam Menghadapi Covid-19. Hasil penelitian menunjukkan   bahwa   di   antara tantanganPerbankan   Syariahdalam menghadapi  pandemi  Covid-19  di  IndonesiaPertama, menyesuaikan  pola bisnis     dengan digitalisasi     layanan bank,     baik     digitalisasi     dalam penghimpunan dana maupun pembiayaan. Kedua,  menekan/meminimalisasi  pembayaran Non  Performing  Finanacing(NPF)agar  tetap  bisa survive di  masa  pandemi  Covid-19.Ketiga, mencari alternatifmarket  baru, minimal market  yang  tidak  terdampak  signifikan akibat  pandemi  Covid-19,seperti  sektor  usaha  yang  berkaitan  dengan industri   kesehatan,sehingga industri   perbankan   syariah   tetap   dapat bertahan di tengah seranganpandemi Covid-19.","author":[{"dropping-particle":"","family":"Tahliani","given":"Hani","non-dropping-particle":"","parse-names":false,"suffix":""}],"container-title":"Madani Syariah","id":"ITEM-1","issue":"2","issued":{"date-parts":[["2020"]]},"page":"92-113","title":"Tantanganperbankan Syariah Dalam Menghadapi Pandemi Covid-19","type":"article-journal","volume":"3"},"uris":["http://www.mendeley.com/documents/?uuid=645dec39-2004-4889-851d-0f33e01a1614"]}],"mendeley":{"formattedCitation":"(Tahliani, 2020)","plainTextFormattedCitation":"(Tahliani, 2020)","previouslyFormattedCitation":"(Tahliani, 2020)"},"properties":{"noteIndex":0},"schema":"https://github.com/citation-style-language/schema/raw/master/csl-citation.json"}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(Tahliani, 2020)</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val="id-ID" w:eastAsia="en-US"/>
        </w:rPr>
        <w:t xml:space="preserve">Salah satu yang terdampak dari adanya Covid-19, yaitu debitur usaha mikro, kecil, dan menengah (UMKM) yang berakibat pada kinerja dan kemampuan membayar kewajiban nasabah UMKM pada Bank. Pembiayaan mudhrabah sampai pada bulan Juni 2021, berdasarkan data statistik perbankan Syariah merupakan pembiayaan yang cukup banyak disalurkan oleh bank Syariah maupun unit usaha Syariah dibanding dengan pembiayaan lainnya seperti murabahah, musharakah, ijarah, qard atau istishna’. Pembiayaan mudharabah dipergunakan oleh nasabah </w:t>
      </w:r>
      <w:r w:rsidRPr="009B3EC8">
        <w:rPr>
          <w:rFonts w:ascii="Palatino Linotype" w:hAnsi="Palatino Linotype"/>
          <w:color w:val="000000"/>
          <w:kern w:val="0"/>
          <w:szCs w:val="24"/>
          <w:lang w:val="id-ID" w:eastAsia="en-US"/>
        </w:rPr>
        <w:lastRenderedPageBreak/>
        <w:t xml:space="preserve">UMKM maupun nasabah bukan UMKM dalam praktik perbankan Syariah dikarenakan minim risiko baik dari sisi bank Syariah maupun nasabah. </w:t>
      </w:r>
      <w:r w:rsidRPr="009B3EC8">
        <w:rPr>
          <w:rFonts w:ascii="Palatino Linotype" w:hAnsi="Palatino Linotype"/>
          <w:color w:val="000000"/>
          <w:kern w:val="0"/>
          <w:szCs w:val="24"/>
          <w:lang w:eastAsia="en-US"/>
        </w:rPr>
        <w:t>Disamping itu, adanya agunan yang mempunyai nilai lebih tinggi dibandingkan nilai dari pembiayaan. Namun pandemi Covid-19 tengah melanda dunia sehingga banyak yang terdampak salah satunya, yaitu nasabah UMKM yang berakibat pada kinerja dan kemampuan membayar kewajiban nasabah UMKM pada bank. Hal ini dikarenakan penjualan menurun, sulitnya bahan baku, distribusi terhambat,</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 xml:space="preserve">permodalan dan produksi terhambat. Hal ini tentunya juga berakibat mengganggu kinerja perbankan baik perbankan konvensional maupun perbankan Syariah </w:t>
      </w:r>
      <w:r w:rsidRPr="009B3EC8">
        <w:rPr>
          <w:rFonts w:ascii="Palatino Linotype" w:hAnsi="Palatino Linotype"/>
          <w:color w:val="000000"/>
          <w:kern w:val="0"/>
          <w:szCs w:val="24"/>
          <w:lang w:eastAsia="en-US"/>
        </w:rPr>
        <w:fldChar w:fldCharType="begin" w:fldLock="1"/>
      </w:r>
      <w:r w:rsidRPr="009B3EC8">
        <w:rPr>
          <w:rFonts w:ascii="Palatino Linotype" w:hAnsi="Palatino Linotype"/>
          <w:color w:val="000000"/>
          <w:kern w:val="0"/>
          <w:szCs w:val="24"/>
          <w:lang w:eastAsia="en-US"/>
        </w:rPr>
        <w:instrText>ADDIN CSL_CITATION {"citationItems":[{"id":"ITEM-1","itemData":{"DOI":"https://doi.org/10.20473/ntr.v4i2.26122","author":[{"dropping-particle":"","family":"Setiawati","given":"Nur Utari","non-dropping-particle":"","parse-names":false,"suffix":""}],"container-title":"Notaire","id":"ITEM-1","issue":"2","issued":{"date-parts":[["2021"]]},"title":"Kebijakan Restrukturisasi Pembiayaan Murabahah Bermasalah pada Nasabah UMKM Akibat Pandemi Coronavirus Dusease 2019 (Covid-19)","type":"article-journal","volume":"4"},"uris":["http://www.mendeley.com/documents/?uuid=5b2d0f9c-5606-4f1d-a275-32bfcf9cde82"]}],"mendeley":{"formattedCitation":"(Setiawati, 2021)","plainTextFormattedCitation":"(Setiawati, 2021)","previouslyFormattedCitation":"(Setiawati, 2021)"},"properties":{"noteIndex":0},"schema":"https://github.com/citation-style-language/schema/raw/master/csl-citation.json"}</w:instrText>
      </w:r>
      <w:r w:rsidRPr="009B3EC8">
        <w:rPr>
          <w:rFonts w:ascii="Palatino Linotype" w:hAnsi="Palatino Linotype"/>
          <w:color w:val="000000"/>
          <w:kern w:val="0"/>
          <w:szCs w:val="24"/>
          <w:lang w:eastAsia="en-US"/>
        </w:rPr>
        <w:fldChar w:fldCharType="separate"/>
      </w:r>
      <w:r w:rsidRPr="009B3EC8">
        <w:rPr>
          <w:rFonts w:ascii="Palatino Linotype" w:hAnsi="Palatino Linotype"/>
          <w:noProof/>
          <w:color w:val="000000"/>
          <w:kern w:val="0"/>
          <w:szCs w:val="24"/>
          <w:lang w:eastAsia="en-US"/>
        </w:rPr>
        <w:t>(Setiawati, 2021)</w:t>
      </w:r>
      <w:r w:rsidRPr="009B3EC8">
        <w:rPr>
          <w:rFonts w:ascii="Palatino Linotype" w:hAnsi="Palatino Linotype"/>
          <w:color w:val="000000"/>
          <w:kern w:val="0"/>
          <w:szCs w:val="24"/>
          <w:lang w:eastAsia="en-US"/>
        </w:rPr>
        <w:fldChar w:fldCharType="end"/>
      </w:r>
      <w:r w:rsidRPr="009B3EC8">
        <w:rPr>
          <w:rFonts w:ascii="Palatino Linotype" w:hAnsi="Palatino Linotype"/>
          <w:color w:val="000000"/>
          <w:kern w:val="0"/>
          <w:szCs w:val="24"/>
          <w:lang w:eastAsia="en-US"/>
        </w:rPr>
        <w:t>. Masyarakat yang meminjam dana di bank sulit untuk membayar angsuran. Jika hal ini terjadi terus-menerus tentunya akan memberi pengaruh pada tingkat kolektibilitas kredit suatu bank yang akhirnya menjadi pembiayaan bermasalah</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{"citationItems":[{"id":"ITEM-1","itemData":{"DOI":"10.30984/kunuz.v1i2.50","ISSN":"2807-680X","abstract":"Artikel ini ditulis untuk mengkaji restrukturisasi pembiayaan pada bank Syariah di masa pandemi Covid-19 perspektif hukum perikatan Islam. Wabah Covid-19 yang telah menginfeksi hampir seluruh belahan dunia berdampak pada semua dimensi, baik itu sosial, politik, maupun ekonomi. Dampak dalam hal perekonomian pada lembaga keuangan Syariah yakni tentang pembiayaan yang bermasalah. Pembiayaan bermasalah yang ditimbulkan berpotensi mengganggu kinerja perbankan dan stabilitas sistem keuangan yang dapat mempengaruhi pertumbuhan ekonomi. Penulisan artikel ini bertujuan untuk melihat keadaan ekonomi akibat pandemi dan strategi pemulihan pembiayaan di lingkup perbankan ditinjau dari perspektif hukum perikatan Islam. Penelitian ini menggunakan metode kualitatif kepustakaan (library research). Berdasarkan hasil penelitian terlihat bahwa Bank Syariah dalam memberikan restrukturisasi pembiayaan pada nasabah UMKM akibat Pandemi Covid-19 didasarkan pada Peraturan Otoritas Jasa Keuangan Nomor 16/POJK.03/2014, yakni hanya dapat diberikan kepada nasabah yang mengalami kesulitan untuk memenuhi kewajibannya terhadap bank akibat usahanya terdampak Covid-19. Tahapan restrukturisasi yaitu rescheduling, reconditioning, restructuring. Semua tahapan ini dilakukan guna memenuhi tujuan akad awal seorang nasabah dengan pihak bank, yaitu untuk melahirkan suatu akibat hukum atau maksud bersama yang dituju dan yang hendak diwujudkan oleh pihak melalui pembuatan akad. Karena akad dalam hukum perikatan berarti mengikat, yang mana seorang debitur diwajibkan untuk menyelesaikan pembayaran angsuran sampai batas waktu yang telah ditentukan sesuai dengan kesepakatan","author":[{"dropping-particle":"","family":"Amalia","given":"Rizqi Jauharotul","non-dropping-particle":"","parse-names":false,"suffix":""},{"dropping-particle":"","family":"Adinugraha","given":"Hendri Hermawan","non-dropping-particle":"","parse-names":false,"suffix":""}],"container-title":"Kunuz: Journal of Islamic Banking and Finance","id":"ITEM-1","issue":"2","issued":{"date-parts":[["2021"]]},"page":"107-109","title":"Restrukturisasi Pembiayaan Pada Bank Syariah Di Masa Pandemi Covid-19 Perspektif Hukum Perikatan Islam","type":"article-journal","volume":"1"},"uris":["http://www.mendeley.com/documents/?uuid=c85ab982-58f7-48dd-80a5-f6b26a2befca"]}],"mendeley":{"formattedCitation":"(Amalia &amp; Adinugraha, 2021)","plainTextFormattedCitation":"(Amalia &amp; Adinugraha, 2021)","previouslyFormattedCitation":"(Amalia &amp; Adinugraha,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(Amalia &amp; Adinugraha,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eastAsia="en-US"/>
        </w:rPr>
        <w:t>Pembiayaan bermasalah disebabkan karena ketidakmampuan nasabah dalam membayar angsuran. Besarnya pembiayaan bermasalah akan membuat kerugian pada suatu bank dan pastinya keuntungan yang diperolehpun akan berkuran. Pembiayaan bermasalah sering disebut juga dengan kredit macet, merupakan suatu keadaan yang dijadikan indikator bahwa sebuah bank sedang dalam kategori sehat ataupun tidak, yaitu dilihat dari kualitas pembiayaan yang diberikan nasabah pada suatu bank. Jika pembiayaan yang dikembalikan nasabah baik, maka tingkat kesehatan suatu bank dalam hal pembiayaan dikategorikan baik pula. Namun jika pembiayaan yang dikembalikan nasabah macet, maka tingkat kesehatan suatu bank dalam hal pembiayaan dalam kategori tidak sehat. Terjadinya pembiayaan bermasalah disebabkan oleh nasabah yang tidak mampu membayar angsuran diakibatkan dari menurunnya pendapatan dari usaha nasabah. Agar tidak terjadi lagi pembiayaan bermasalah, bank Syariah harus menjaga kualitas suatu pembiayaan serta menyelesaikan pembiayaan yang bermasalah untuk menghindari adanya resiko kerugian</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Dela","given":"Yunanda","non-dropping-particle":"","parse-names":false,"suffix":""},{"dropping-particle":"","family":"Anggraini","given":"Tuti","non-dropping-particle":"","parse-names":false,"suffix":""}],"container-title":"Jurnal Riset Akuntansi Mercu Buana","id":"ITEM-1","issued":{"date-parts":[["2021"]]},"title":"Restrukturasi Pembiayaan di Masa Pandemi Covid-19 pada PT. Bank Sumut KCP Syariah Kisaran","type":"article-journal"},"uris":["http://www.mendeley.com/documents/?uuid=aa68fffe-e0a0-4500-a289-5408473d7de8"]}],"mendeley":{"formattedCitation":"(Dela &amp; Anggraini, 2021)","plainTextFormattedCitation":"(Dela &amp; Anggraini, 2021)","previouslyFormattedCitation":"(Dela &amp; Anggraini,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(Dela &amp; Anggraini,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eastAsia="en-US"/>
        </w:rPr>
        <w:t>Kepala Divisi Perbankan Syariah Komite Nasional Ekonomi dan Keuangan Syariah (KNEKS), Yosita Nur Widiyanti mengungkapkan dampak</w:t>
      </w:r>
      <w:r w:rsidRPr="009B3EC8">
        <w:rPr>
          <w:rFonts w:ascii="Palatino Linotype" w:hAnsi="Palatino Linotype"/>
          <w:color w:val="000000"/>
          <w:kern w:val="0"/>
          <w:szCs w:val="24"/>
          <w:lang w:val="id-ID" w:eastAsia="en-US"/>
        </w:rPr>
        <w:t xml:space="preserve"> dari pandemi Covid-19 </w:t>
      </w:r>
      <w:r w:rsidRPr="009B3EC8">
        <w:rPr>
          <w:rFonts w:ascii="Palatino Linotype" w:hAnsi="Palatino Linotype"/>
          <w:color w:val="000000"/>
          <w:kern w:val="0"/>
          <w:szCs w:val="24"/>
          <w:lang w:eastAsia="en-US"/>
        </w:rPr>
        <w:t xml:space="preserve">antara lain terjadi peningkatan risiko likuiditas pada bank-bank syariah yang dinilai memiliki kualitas lebih rendah. Terdapat potensi perpindahan dana dari bank dengan kualitas </w:t>
      </w:r>
      <w:r w:rsidRPr="009B3EC8">
        <w:rPr>
          <w:rFonts w:ascii="Palatino Linotype" w:hAnsi="Palatino Linotype"/>
          <w:color w:val="000000"/>
          <w:kern w:val="0"/>
          <w:szCs w:val="24"/>
          <w:lang w:eastAsia="en-US"/>
        </w:rPr>
        <w:lastRenderedPageBreak/>
        <w:t>rendah ke tinggi di tengah ketidakpastian.</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Kemudian, penurunan kualitas aset keuangan baik pembiayaan maupun surat berharga sehingga terjadi penurunan profitabilitas karena peningkatan biaya provisi dan dana.</w:t>
      </w:r>
      <w:r w:rsidRPr="009B3EC8">
        <w:rPr>
          <w:rFonts w:ascii="Palatino Linotype" w:hAnsi="Palatino Linotype"/>
          <w:color w:val="000000"/>
          <w:kern w:val="0"/>
          <w:szCs w:val="24"/>
          <w:lang w:val="id-ID" w:eastAsia="en-US"/>
        </w:rPr>
        <w:t xml:space="preserve"> P</w:t>
      </w:r>
      <w:r w:rsidRPr="009B3EC8">
        <w:rPr>
          <w:rFonts w:ascii="Palatino Linotype" w:hAnsi="Palatino Linotype"/>
          <w:color w:val="000000"/>
          <w:kern w:val="0"/>
          <w:szCs w:val="24"/>
          <w:lang w:eastAsia="en-US"/>
        </w:rPr>
        <w:t>eningkatan </w:t>
      </w:r>
      <w:r w:rsidRPr="009B3EC8">
        <w:rPr>
          <w:rFonts w:ascii="Palatino Linotype" w:hAnsi="Palatino Linotype"/>
          <w:i/>
          <w:iCs/>
          <w:color w:val="000000"/>
          <w:kern w:val="0"/>
          <w:szCs w:val="24"/>
          <w:lang w:eastAsia="en-US"/>
        </w:rPr>
        <w:t>Non-Performing Financing</w:t>
      </w:r>
      <w:r w:rsidRPr="009B3EC8">
        <w:rPr>
          <w:rFonts w:ascii="Palatino Linotype" w:hAnsi="Palatino Linotype"/>
          <w:color w:val="000000"/>
          <w:kern w:val="0"/>
          <w:szCs w:val="24"/>
          <w:lang w:eastAsia="en-US"/>
        </w:rPr>
        <w:t> (NPF) yang umumnya terjadi pada sektor Usaha Mikro Kecil dan Menengah (UMKM) yang dibiayai, sementara pembiayaan berbasis konsumtif relatif aman. Terakhir berdampak pada ekspansi bisnis yang sulit seiring dengan perlambatan ekonomi.</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Namun, dampak tersebut dapat diminimalisir dengan adanya kebijakan yang dikeluarkan oleh Pemerintah, OJK (Otoritas Jasa Keuangan), BI (Bank Indonesia), serta otoritas lainnya dalam rangka menangani Covid-19</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Andika","given":"","non-dropping-particle":"","parse-names":false,"suffix":""},{"dropping-particle":"","family":"Aldi","given":"","non-dropping-particle":"","parse-names":false,"suffix":""}],"container-title":"https://knks.go.id/berita/325/kesiapan-perbankan-syariah-dalam-menghadapi","id":"ITEM-1","issued":{"date-parts":[["2020"]]},"title":"Kesiapan Perbankan Syariah dalam Menghadapi Resesi","type":"webpage"},"uris":["http://www.mendeley.com/documents/?uuid=3ca300f3-eabe-4006-8d09-6aa5bcb1d162"]}],"mendeley":{"formattedCitation":"(Andika &amp; Aldi, 2020)","plainTextFormattedCitation":"(Andika &amp; Aldi, 2020)","previouslyFormattedCitation":"(Andika &amp; Aldi, 2020)"},"properties":{"noteIndex":0},"schema":"https://github.com/citation-style-language/schema/raw/master/csl-citation.json"}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(Andika &amp; Aldi, 2020)</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eastAsia="en-US"/>
        </w:rPr>
        <w:t xml:space="preserve">Meskipun demikian, dalam situasi seperti ini perbankan syariah bisa dikatakan mampu bertahan. </w:t>
      </w:r>
      <w:r w:rsidRPr="009B3EC8">
        <w:rPr>
          <w:rFonts w:ascii="Palatino Linotype" w:hAnsi="Palatino Linotype"/>
          <w:color w:val="000000"/>
          <w:kern w:val="0"/>
          <w:szCs w:val="24"/>
          <w:lang w:val="id-ID" w:eastAsia="en-US"/>
        </w:rPr>
        <w:t>B</w:t>
      </w:r>
      <w:r w:rsidRPr="009B3EC8">
        <w:rPr>
          <w:rFonts w:ascii="Palatino Linotype" w:hAnsi="Palatino Linotype"/>
          <w:color w:val="000000"/>
          <w:kern w:val="0"/>
          <w:szCs w:val="24"/>
          <w:lang w:eastAsia="en-US"/>
        </w:rPr>
        <w:t>erdasarkan data OJK, perbankan syariah masih menunjukkan pertumbuhan yang positif meski menghadapi situasi pandemi. Begitu pula aspek permodalan yang relatif stabil dan kuat. Hal ini dapat dilihat dari beberapa indikator kinerja Agustus 2020.</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Dari sisi aset, pembiayaan, dan Dana Pihak Ketiga (DPK), perbankan syariah mengalami pertumbuhan sebesar masing-masing 11,2 persen, 9,5 persen, 11,7 persen </w:t>
      </w:r>
      <w:r w:rsidRPr="009B3EC8">
        <w:rPr>
          <w:rFonts w:ascii="Palatino Linotype" w:hAnsi="Palatino Linotype"/>
          <w:i/>
          <w:iCs/>
          <w:color w:val="000000"/>
          <w:kern w:val="0"/>
          <w:szCs w:val="24"/>
          <w:lang w:eastAsia="en-US"/>
        </w:rPr>
        <w:t>year on year</w:t>
      </w:r>
      <w:r w:rsidRPr="009B3EC8">
        <w:rPr>
          <w:rFonts w:ascii="Palatino Linotype" w:hAnsi="Palatino Linotype"/>
          <w:color w:val="000000"/>
          <w:kern w:val="0"/>
          <w:szCs w:val="24"/>
          <w:lang w:eastAsia="en-US"/>
        </w:rPr>
        <w:t> (yoy). Tingkat NPF juga mengalami penurunan dikarenakan adanya relaksasi dari OJK serta eksposur perbankan syariah terhadap sektor industri seperti transportasi, akomodasi, dan restoran relatif terbatas</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fldChar w:fldCharType="begin" w:fldLock="1"/>
      </w:r>
      <w:r w:rsidRPr="009B3EC8">
        <w:rPr>
          <w:rFonts w:ascii="Palatino Linotype" w:hAnsi="Palatino Linotype"/>
          <w:color w:val="000000"/>
          <w:kern w:val="0"/>
          <w:szCs w:val="24"/>
          <w:lang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eastAsia="en-US"/>
        </w:rPr>
        <w:fldChar w:fldCharType="separate"/>
      </w:r>
      <w:r w:rsidRPr="009B3EC8">
        <w:rPr>
          <w:rFonts w:ascii="Palatino Linotype" w:hAnsi="Palatino Linotype"/>
          <w:noProof/>
          <w:color w:val="000000"/>
          <w:kern w:val="0"/>
          <w:szCs w:val="24"/>
          <w:lang w:eastAsia="en-US"/>
        </w:rPr>
        <w:t>(Otoritas Jasa Keuangan, 2021)</w:t>
      </w:r>
      <w:r w:rsidRPr="009B3EC8">
        <w:rPr>
          <w:rFonts w:ascii="Palatino Linotype" w:hAnsi="Palatino Linotype"/>
          <w:color w:val="000000"/>
          <w:kern w:val="0"/>
          <w:szCs w:val="24"/>
          <w:lang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Tujuan dari penelitian ini adalah untuk menganalisis bagimana perkembangan industri keuangan syariah di masa Pandemi Covid-19.</w:t>
      </w:r>
    </w:p>
    <w:p w:rsidR="00B36CFF" w:rsidRPr="00E215D6" w:rsidRDefault="00B36CFF" w:rsidP="00B36CFF">
      <w:pPr>
        <w:spacing w:after="120"/>
        <w:rPr>
          <w:rFonts w:ascii="Palatino Linotype" w:hAnsi="Palatino Linotype"/>
          <w:b/>
          <w:sz w:val="26"/>
          <w:szCs w:val="26"/>
          <w:lang w:val="id-ID"/>
        </w:rPr>
      </w:pPr>
      <w:r w:rsidRPr="00E215D6">
        <w:rPr>
          <w:rFonts w:ascii="Palatino Linotype" w:hAnsi="Palatino Linotype"/>
          <w:b/>
          <w:sz w:val="26"/>
          <w:szCs w:val="26"/>
          <w:lang w:val="id-ID"/>
        </w:rPr>
        <w:t>METODE PENELITIAN</w:t>
      </w:r>
    </w:p>
    <w:p w:rsidR="009B3EC8" w:rsidRPr="009B3EC8" w:rsidRDefault="009B3EC8" w:rsidP="009B3EC8">
      <w:pPr>
        <w:widowControl/>
        <w:spacing w:after="120"/>
        <w:jc w:val="both"/>
        <w:rPr>
          <w:rFonts w:ascii="Palatino Linotype" w:hAnsi="Palatino Linotype"/>
          <w:b/>
          <w:bCs/>
          <w:color w:val="000000"/>
          <w:kern w:val="0"/>
          <w:szCs w:val="24"/>
          <w:lang w:val="id-ID" w:eastAsia="en-US"/>
        </w:rPr>
      </w:pPr>
      <w:r w:rsidRPr="009B3EC8">
        <w:rPr>
          <w:rFonts w:ascii="Palatino Linotype" w:hAnsi="Palatino Linotype"/>
          <w:b/>
          <w:bCs/>
          <w:color w:val="000000"/>
          <w:kern w:val="0"/>
          <w:szCs w:val="24"/>
          <w:lang w:val="id-ID" w:eastAsia="en-US"/>
        </w:rPr>
        <w:t>Jenis Penelitian</w:t>
      </w:r>
    </w:p>
    <w:p w:rsidR="009B3EC8" w:rsidRPr="009B3EC8" w:rsidRDefault="009B3EC8" w:rsidP="009B3EC8">
      <w:pPr>
        <w:widowControl/>
        <w:spacing w:after="120"/>
        <w:ind w:firstLineChars="300" w:firstLine="720"/>
        <w:jc w:val="both"/>
        <w:rPr>
          <w:rFonts w:ascii="Palatino Linotype" w:eastAsia="Times New Roman" w:hAnsi="Palatino Linotype"/>
          <w:color w:val="000000"/>
          <w:kern w:val="0"/>
          <w:szCs w:val="24"/>
          <w:lang w:val="id-ID" w:eastAsia="en-US"/>
        </w:rPr>
      </w:pPr>
      <w:r w:rsidRPr="009B3EC8">
        <w:rPr>
          <w:rFonts w:ascii="Palatino Linotype" w:eastAsia="Times New Roman" w:hAnsi="Palatino Linotype"/>
          <w:color w:val="000000"/>
          <w:kern w:val="0"/>
          <w:szCs w:val="24"/>
          <w:lang w:val="id-ID" w:eastAsia="en-US"/>
        </w:rPr>
        <w:t>Penelitian ini merupakan jenis penelitian kepustakaan (</w:t>
      </w:r>
      <w:r w:rsidRPr="009B3EC8">
        <w:rPr>
          <w:rFonts w:ascii="Palatino Linotype" w:eastAsia="Times New Roman" w:hAnsi="Palatino Linotype"/>
          <w:i/>
          <w:iCs/>
          <w:color w:val="000000"/>
          <w:kern w:val="0"/>
          <w:szCs w:val="24"/>
          <w:lang w:val="id-ID" w:eastAsia="en-US"/>
        </w:rPr>
        <w:t>library research</w:t>
      </w:r>
      <w:r w:rsidRPr="009B3EC8">
        <w:rPr>
          <w:rFonts w:ascii="Palatino Linotype" w:eastAsia="Times New Roman" w:hAnsi="Palatino Linotype"/>
          <w:color w:val="000000"/>
          <w:kern w:val="0"/>
          <w:szCs w:val="24"/>
          <w:lang w:val="id-ID" w:eastAsia="en-US"/>
        </w:rPr>
        <w:t xml:space="preserve">). Penelitian kepustakaan adalah kegiatan penelitian yang dilaksanakan dengan menggunakan literatur baik berupa kitab, buku, catatan maupun hasil penelitian terdahulu </w:t>
      </w:r>
      <w:r w:rsidRPr="009B3EC8">
        <w:rPr>
          <w:rFonts w:ascii="Palatino Linotype" w:eastAsia="Times New Roman" w:hAnsi="Palatino Linotype"/>
          <w:color w:val="000000"/>
          <w:kern w:val="0"/>
          <w:szCs w:val="24"/>
          <w:lang w:val="id-ID" w:eastAsia="en-US"/>
        </w:rPr>
        <w:fldChar w:fldCharType="begin" w:fldLock="1"/>
      </w:r>
      <w:r w:rsidRPr="009B3EC8">
        <w:rPr>
          <w:rFonts w:ascii="Palatino Linotype" w:eastAsia="Times New Roman" w:hAnsi="Palatino Linotype"/>
          <w:color w:val="000000"/>
          <w:kern w:val="0"/>
          <w:szCs w:val="24"/>
          <w:lang w:val="id-ID" w:eastAsia="en-US"/>
        </w:rPr>
        <w:instrText>ADDIN CSL_CITATION {"citationItems":[{"id":"ITEM-1","itemData":{"author":[{"dropping-particle":"","family":"Hasan","given":"Iqbal","non-dropping-particle":"","parse-names":false,"suffix":""}],"id":"ITEM-1","issued":{"date-parts":[["2008"]]},"publisher":"Bumi Aksara","publisher-place":"Jakarta","title":"Analisis Data Penelitian dengan Statistik","type":"book"},"uris":["http://www.mendeley.com/documents/?uuid=a025bb85-0c72-42aa-b446-55f94e709e7d"]}],"mendeley":{"formattedCitation":"(Hasan, 2008)","plainTextFormattedCitation":"(Hasan, 2008)","previouslyFormattedCitation":"(Hasan, 2008)"},"properties":{"noteIndex":0},"schema":"https://github.com/citation-style-language/schema/raw/master/csl-citation.json"}</w:instrText>
      </w:r>
      <w:r w:rsidRPr="009B3EC8">
        <w:rPr>
          <w:rFonts w:ascii="Palatino Linotype" w:eastAsia="Times New Roman" w:hAnsi="Palatino Linotype"/>
          <w:color w:val="000000"/>
          <w:kern w:val="0"/>
          <w:szCs w:val="24"/>
          <w:lang w:val="id-ID" w:eastAsia="en-US"/>
        </w:rPr>
        <w:fldChar w:fldCharType="separate"/>
      </w:r>
      <w:r w:rsidRPr="009B3EC8">
        <w:rPr>
          <w:rFonts w:ascii="Palatino Linotype" w:eastAsia="Times New Roman" w:hAnsi="Palatino Linotype"/>
          <w:noProof/>
          <w:color w:val="000000"/>
          <w:kern w:val="0"/>
          <w:szCs w:val="24"/>
          <w:lang w:val="id-ID" w:eastAsia="en-US"/>
        </w:rPr>
        <w:t>(Hasan, 2008)</w:t>
      </w:r>
      <w:r w:rsidRPr="009B3EC8">
        <w:rPr>
          <w:rFonts w:ascii="Palatino Linotype" w:eastAsia="Times New Roman" w:hAnsi="Palatino Linotype"/>
          <w:color w:val="000000"/>
          <w:kern w:val="0"/>
          <w:szCs w:val="24"/>
          <w:lang w:val="id-ID" w:eastAsia="en-US"/>
        </w:rPr>
        <w:fldChar w:fldCharType="end"/>
      </w:r>
      <w:r w:rsidRPr="009B3EC8">
        <w:rPr>
          <w:rFonts w:ascii="Palatino Linotype" w:eastAsia="Times New Roman" w:hAnsi="Palatino Linotype"/>
          <w:color w:val="000000"/>
          <w:kern w:val="0"/>
          <w:szCs w:val="24"/>
          <w:lang w:val="id-ID" w:eastAsia="en-US"/>
        </w:rPr>
        <w:t xml:space="preserve"> Literatur yang digunakan dalam penelitian ini terdiri dari peraturan perundang-undangan, buku-buku, jurnal dan hasil penelitian terdahulu. Dilihat dari sifatnya penelitian ini merupakan penelitian deskriptif kualitatif. Proses penelitian kualitatif melibatkan upaya-upaya penting, seperti mengumpulkan data dan menganalisis data secara induktif mulai </w:t>
      </w:r>
      <w:r w:rsidRPr="009B3EC8">
        <w:rPr>
          <w:rFonts w:ascii="Palatino Linotype" w:eastAsia="Times New Roman" w:hAnsi="Palatino Linotype"/>
          <w:color w:val="000000"/>
          <w:kern w:val="0"/>
          <w:szCs w:val="24"/>
          <w:lang w:val="id-ID" w:eastAsia="en-US"/>
        </w:rPr>
        <w:lastRenderedPageBreak/>
        <w:t xml:space="preserve">dari tema-tema yang khusus ke tema-tema umum, dan menafsirkan makna data. Dalam hal ini penulis menggambarkan dan menjelaskan tentang </w:t>
      </w:r>
      <w:bookmarkStart w:id="2" w:name="_Hlk108552339"/>
      <w:r w:rsidRPr="009B3EC8">
        <w:rPr>
          <w:rFonts w:ascii="Palatino Linotype" w:eastAsia="Times New Roman" w:hAnsi="Palatino Linotype"/>
          <w:color w:val="000000"/>
          <w:kern w:val="0"/>
          <w:szCs w:val="24"/>
          <w:lang w:val="id-ID" w:eastAsia="en-US"/>
        </w:rPr>
        <w:t>perkembangan industri keuangan syariah di masa Pandemi Covid-19.</w:t>
      </w:r>
    </w:p>
    <w:p w:rsidR="009B3EC8" w:rsidRPr="009B3EC8" w:rsidRDefault="009B3EC8" w:rsidP="009B3EC8">
      <w:pPr>
        <w:widowControl/>
        <w:spacing w:after="120"/>
        <w:ind w:firstLineChars="300" w:firstLine="720"/>
        <w:jc w:val="both"/>
        <w:rPr>
          <w:rFonts w:ascii="Palatino Linotype" w:eastAsia="Times New Roman" w:hAnsi="Palatino Linotype"/>
          <w:color w:val="000000"/>
          <w:kern w:val="0"/>
          <w:szCs w:val="24"/>
          <w:lang w:val="id-ID" w:eastAsia="en-US"/>
        </w:rPr>
      </w:pPr>
    </w:p>
    <w:p w:rsidR="009B3EC8" w:rsidRPr="009B3EC8" w:rsidRDefault="009B3EC8" w:rsidP="009B3EC8">
      <w:pPr>
        <w:widowControl/>
        <w:spacing w:after="120"/>
        <w:ind w:firstLineChars="300" w:firstLine="723"/>
        <w:jc w:val="both"/>
        <w:rPr>
          <w:rFonts w:ascii="Palatino Linotype" w:hAnsi="Palatino Linotype"/>
          <w:b/>
          <w:bCs/>
          <w:color w:val="000000"/>
          <w:kern w:val="0"/>
          <w:szCs w:val="24"/>
          <w:lang w:val="id-ID" w:eastAsia="en-US"/>
        </w:rPr>
      </w:pPr>
    </w:p>
    <w:bookmarkEnd w:id="2"/>
    <w:p w:rsidR="009B3EC8" w:rsidRPr="009B3EC8" w:rsidRDefault="009B3EC8" w:rsidP="009B3EC8">
      <w:pPr>
        <w:widowControl/>
        <w:spacing w:after="120"/>
        <w:jc w:val="both"/>
        <w:rPr>
          <w:rFonts w:ascii="Palatino Linotype" w:hAnsi="Palatino Linotype"/>
          <w:b/>
          <w:bCs/>
          <w:color w:val="000000"/>
          <w:kern w:val="0"/>
          <w:szCs w:val="24"/>
          <w:lang w:val="id-ID" w:eastAsia="en-US"/>
        </w:rPr>
      </w:pPr>
      <w:r w:rsidRPr="009B3EC8">
        <w:rPr>
          <w:rFonts w:ascii="Palatino Linotype" w:hAnsi="Palatino Linotype"/>
          <w:b/>
          <w:bCs/>
          <w:color w:val="000000"/>
          <w:kern w:val="0"/>
          <w:szCs w:val="24"/>
          <w:lang w:val="id-ID" w:eastAsia="en-US"/>
        </w:rPr>
        <w:t>Objek Penelitian</w:t>
      </w:r>
    </w:p>
    <w:p w:rsidR="009B3EC8" w:rsidRPr="009B3EC8" w:rsidRDefault="009B3EC8" w:rsidP="009B3EC8">
      <w:pPr>
        <w:widowControl/>
        <w:spacing w:after="120"/>
        <w:ind w:firstLineChars="300" w:firstLine="720"/>
        <w:jc w:val="both"/>
        <w:rPr>
          <w:rFonts w:ascii="Palatino Linotype" w:hAnsi="Palatino Linotype"/>
          <w:b/>
          <w:bCs/>
          <w:color w:val="000000"/>
          <w:kern w:val="0"/>
          <w:szCs w:val="24"/>
          <w:lang w:val="id-ID" w:eastAsia="en-US"/>
        </w:rPr>
      </w:pPr>
      <w:bookmarkStart w:id="3" w:name="_Hlk103750246"/>
      <w:r w:rsidRPr="009B3EC8">
        <w:rPr>
          <w:rFonts w:ascii="Palatino Linotype" w:eastAsia="Times New Roman" w:hAnsi="Palatino Linotype"/>
          <w:color w:val="000000"/>
          <w:kern w:val="0"/>
          <w:szCs w:val="24"/>
          <w:lang w:val="id-ID" w:eastAsia="en-US"/>
        </w:rPr>
        <w:t xml:space="preserve">Objek penelitian adalah suatu hal yang menjadi sasaran penelitian </w:t>
      </w:r>
      <w:r w:rsidRPr="009B3EC8">
        <w:rPr>
          <w:rFonts w:ascii="Palatino Linotype" w:eastAsia="Times New Roman" w:hAnsi="Palatino Linotype"/>
          <w:color w:val="000000"/>
          <w:kern w:val="0"/>
          <w:szCs w:val="24"/>
          <w:lang w:val="id-ID" w:eastAsia="en-US"/>
        </w:rPr>
        <w:fldChar w:fldCharType="begin" w:fldLock="1"/>
      </w:r>
      <w:r w:rsidRPr="009B3EC8">
        <w:rPr>
          <w:rFonts w:ascii="Palatino Linotype" w:eastAsia="Times New Roman" w:hAnsi="Palatino Linotype"/>
          <w:color w:val="000000"/>
          <w:kern w:val="0"/>
          <w:szCs w:val="24"/>
          <w:lang w:val="id-ID" w:eastAsia="en-US"/>
        </w:rPr>
        <w:instrText>ADDIN CSL_CITATION {"citationItems":[{"id":"ITEM-1","itemData":{"author":[{"dropping-particle":"","family":"Tim Penyusun","given":"","non-dropping-particle":"","parse-names":false,"suffix":""}],"id":"ITEM-1","issued":{"date-parts":[["2007"]]},"publisher":"Balai Pustaka","publisher-place":"Jakarta","title":"Kamus Besar Bahasa Indonesia","type":"book"},"uris":["http://www.mendeley.com/documents/?uuid=fecc11e9-e6ff-4675-b814-be2a983ea7fd"]}],"mendeley":{"formattedCitation":"(Tim Penyusun, 2007)","plainTextFormattedCitation":"(Tim Penyusun, 2007)","previouslyFormattedCitation":"(Tim Penyusun, 2007)"},"properties":{"noteIndex":0},"schema":"https://github.com/citation-style-language/schema/raw/master/csl-citation.json"}</w:instrText>
      </w:r>
      <w:r w:rsidRPr="009B3EC8">
        <w:rPr>
          <w:rFonts w:ascii="Palatino Linotype" w:eastAsia="Times New Roman" w:hAnsi="Palatino Linotype"/>
          <w:color w:val="000000"/>
          <w:kern w:val="0"/>
          <w:szCs w:val="24"/>
          <w:lang w:val="id-ID" w:eastAsia="en-US"/>
        </w:rPr>
        <w:fldChar w:fldCharType="separate"/>
      </w:r>
      <w:r w:rsidRPr="009B3EC8">
        <w:rPr>
          <w:rFonts w:ascii="Palatino Linotype" w:eastAsia="Times New Roman" w:hAnsi="Palatino Linotype"/>
          <w:noProof/>
          <w:color w:val="000000"/>
          <w:kern w:val="0"/>
          <w:szCs w:val="24"/>
          <w:lang w:val="id-ID" w:eastAsia="en-US"/>
        </w:rPr>
        <w:t>(Tim Penyusun, 2007)</w:t>
      </w:r>
      <w:r w:rsidRPr="009B3EC8">
        <w:rPr>
          <w:rFonts w:ascii="Palatino Linotype" w:eastAsia="Times New Roman" w:hAnsi="Palatino Linotype"/>
          <w:color w:val="000000"/>
          <w:kern w:val="0"/>
          <w:szCs w:val="24"/>
          <w:lang w:val="id-ID" w:eastAsia="en-US"/>
        </w:rPr>
        <w:fldChar w:fldCharType="end"/>
      </w:r>
      <w:r w:rsidRPr="009B3EC8">
        <w:rPr>
          <w:rFonts w:ascii="Palatino Linotype" w:eastAsia="Times New Roman" w:hAnsi="Palatino Linotype"/>
          <w:color w:val="000000"/>
          <w:kern w:val="0"/>
          <w:szCs w:val="24"/>
          <w:lang w:val="id-ID" w:eastAsia="en-US"/>
        </w:rPr>
        <w:t>. Adapun objek penelitian pada penelitian ini adalah</w:t>
      </w:r>
      <w:r w:rsidRPr="009B3EC8">
        <w:rPr>
          <w:rFonts w:ascii="Palatino Linotype" w:eastAsia="Times New Roman" w:hAnsi="Palatino Linotype"/>
          <w:color w:val="000000"/>
          <w:kern w:val="0"/>
          <w:szCs w:val="24"/>
          <w:lang w:val="id-ID" w:eastAsia="id-ID"/>
        </w:rPr>
        <w:t xml:space="preserve"> </w:t>
      </w:r>
      <w:r w:rsidRPr="009B3EC8">
        <w:rPr>
          <w:rFonts w:ascii="Palatino Linotype" w:eastAsia="Times New Roman" w:hAnsi="Palatino Linotype"/>
          <w:color w:val="000000"/>
          <w:kern w:val="0"/>
          <w:szCs w:val="24"/>
          <w:lang w:val="id-ID" w:eastAsia="en-US"/>
        </w:rPr>
        <w:t>perkembangan industri keuangan syariah di masa Pandemi Covid-19</w:t>
      </w:r>
      <w:bookmarkEnd w:id="3"/>
    </w:p>
    <w:p w:rsidR="009B3EC8" w:rsidRPr="009B3EC8" w:rsidRDefault="009B3EC8" w:rsidP="009B3EC8">
      <w:pPr>
        <w:widowControl/>
        <w:spacing w:after="120"/>
        <w:jc w:val="both"/>
        <w:rPr>
          <w:rFonts w:ascii="Palatino Linotype" w:hAnsi="Palatino Linotype"/>
          <w:b/>
          <w:bCs/>
          <w:color w:val="000000"/>
          <w:kern w:val="0"/>
          <w:szCs w:val="24"/>
          <w:lang w:val="id-ID" w:eastAsia="en-US"/>
        </w:rPr>
      </w:pPr>
      <w:r w:rsidRPr="009B3EC8">
        <w:rPr>
          <w:rFonts w:ascii="Palatino Linotype" w:hAnsi="Palatino Linotype"/>
          <w:b/>
          <w:bCs/>
          <w:color w:val="000000"/>
          <w:kern w:val="0"/>
          <w:szCs w:val="24"/>
          <w:lang w:val="id-ID" w:eastAsia="en-US"/>
        </w:rPr>
        <w:t>Teknik Pengumpulan Data</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Teknik pengumpulan data pada penelitian ini menggunakan teknik dokumentasi. Teknik dokumentasi </w:t>
      </w:r>
      <w:r w:rsidRPr="009B3EC8">
        <w:rPr>
          <w:rFonts w:ascii="Palatino Linotype" w:hAnsi="Palatino Linotype"/>
          <w:color w:val="000000"/>
          <w:kern w:val="0"/>
          <w:szCs w:val="24"/>
          <w:lang w:eastAsia="en-US"/>
        </w:rPr>
        <w:t>adalah cara pengumpulan data melalui peninggalan arsip</w:t>
      </w:r>
      <w:r w:rsidRPr="009B3EC8">
        <w:rPr>
          <w:rFonts w:ascii="Palatino Linotype" w:hAnsi="Palatino Linotype"/>
          <w:color w:val="000000"/>
          <w:kern w:val="0"/>
          <w:szCs w:val="24"/>
          <w:lang w:val="id-ID" w:eastAsia="en-US"/>
        </w:rPr>
        <w:t>-</w:t>
      </w:r>
      <w:r w:rsidRPr="009B3EC8">
        <w:rPr>
          <w:rFonts w:ascii="Palatino Linotype" w:hAnsi="Palatino Linotype"/>
          <w:color w:val="000000"/>
          <w:kern w:val="0"/>
          <w:szCs w:val="24"/>
          <w:lang w:eastAsia="en-US"/>
        </w:rPr>
        <w:t>arsip dan termasuk juga buku-buku tentang pendapat, teori, dalil-dalil atau hukum-hukum dan lain-lain berhubungan dengan masalah penelitian. Dalam penelitian kualitatif t</w:t>
      </w:r>
      <w:r w:rsidRPr="009B3EC8">
        <w:rPr>
          <w:rFonts w:ascii="Palatino Linotype" w:hAnsi="Palatino Linotype"/>
          <w:color w:val="000000"/>
          <w:kern w:val="0"/>
          <w:szCs w:val="24"/>
          <w:lang w:val="id-ID" w:eastAsia="en-US"/>
        </w:rPr>
        <w:t>e</w:t>
      </w:r>
      <w:r w:rsidRPr="009B3EC8">
        <w:rPr>
          <w:rFonts w:ascii="Palatino Linotype" w:hAnsi="Palatino Linotype"/>
          <w:color w:val="000000"/>
          <w:kern w:val="0"/>
          <w:szCs w:val="24"/>
          <w:lang w:eastAsia="en-US"/>
        </w:rPr>
        <w:t>knik pengumpulan data yang utama karena pembuktian hipotesisnya yang diajukan secara logis dan rasional melalui pendapat, teori, atau hukum-hukum, baik mendukung maupun menolak hipotesis tersebut.</w:t>
      </w:r>
      <w:r w:rsidRPr="009B3EC8">
        <w:rPr>
          <w:rFonts w:ascii="Palatino Linotype" w:hAnsi="Palatino Linotype"/>
          <w:color w:val="000000"/>
          <w:kern w:val="0"/>
          <w:szCs w:val="24"/>
          <w:lang w:val="id-ID" w:eastAsia="en-US"/>
        </w:rPr>
        <w:t>teknik dokumentasi dalam penelitian ini digunakan untuk mencari data-data terkait dengan perkembangan lembaga keuangan syariah di masa Pandemi Covid-19.</w:t>
      </w:r>
    </w:p>
    <w:p w:rsidR="009B3EC8" w:rsidRPr="009B3EC8" w:rsidRDefault="009B3EC8" w:rsidP="009B3EC8">
      <w:pPr>
        <w:widowControl/>
        <w:spacing w:after="120"/>
        <w:jc w:val="both"/>
        <w:rPr>
          <w:rFonts w:ascii="Palatino Linotype" w:hAnsi="Palatino Linotype"/>
          <w:b/>
          <w:bCs/>
          <w:color w:val="000000"/>
          <w:kern w:val="0"/>
          <w:szCs w:val="24"/>
          <w:lang w:val="id-ID" w:eastAsia="en-US"/>
        </w:rPr>
      </w:pPr>
      <w:r w:rsidRPr="009B3EC8">
        <w:rPr>
          <w:rFonts w:ascii="Palatino Linotype" w:hAnsi="Palatino Linotype"/>
          <w:b/>
          <w:bCs/>
          <w:color w:val="000000"/>
          <w:kern w:val="0"/>
          <w:szCs w:val="24"/>
          <w:lang w:val="id-ID" w:eastAsia="en-US"/>
        </w:rPr>
        <w:t>Analisis Data</w:t>
      </w:r>
    </w:p>
    <w:p w:rsidR="009B3EC8" w:rsidRPr="009B3EC8" w:rsidRDefault="009B3EC8" w:rsidP="009B3EC8">
      <w:pPr>
        <w:widowControl/>
        <w:spacing w:after="120"/>
        <w:ind w:firstLineChars="300" w:firstLine="720"/>
        <w:jc w:val="both"/>
        <w:rPr>
          <w:rFonts w:ascii="Palatino Linotype" w:eastAsia="Times New Roman" w:hAnsi="Palatino Linotype"/>
          <w:color w:val="0D0D0D"/>
          <w:kern w:val="0"/>
          <w:szCs w:val="24"/>
          <w:lang w:val="id-ID" w:eastAsia="en-US"/>
        </w:rPr>
      </w:pPr>
      <w:bookmarkStart w:id="4" w:name="_Hlk103750373"/>
      <w:r w:rsidRPr="009B3EC8">
        <w:rPr>
          <w:rFonts w:ascii="Palatino Linotype" w:eastAsia="Times New Roman" w:hAnsi="Palatino Linotype"/>
          <w:color w:val="0D0D0D"/>
          <w:kern w:val="0"/>
          <w:szCs w:val="24"/>
          <w:lang w:val="id-ID" w:eastAsia="en-US"/>
        </w:rPr>
        <w:t xml:space="preserve">Analisis data adalah upaya yang dilakukan dengan jalan bekerja dengan data, mengorganisasikan data, memilah-milahnya menjadi satuan yang dapat dikelola, </w:t>
      </w:r>
      <w:r w:rsidRPr="009B3EC8">
        <w:rPr>
          <w:rFonts w:ascii="Palatino Linotype" w:eastAsia="Times New Roman" w:hAnsi="Palatino Linotype"/>
          <w:color w:val="000000"/>
          <w:kern w:val="0"/>
          <w:szCs w:val="24"/>
          <w:lang w:val="id-ID" w:eastAsia="en-US"/>
        </w:rPr>
        <w:t>mensintesiskannya</w:t>
      </w:r>
      <w:r w:rsidRPr="009B3EC8">
        <w:rPr>
          <w:rFonts w:ascii="Palatino Linotype" w:eastAsia="Times New Roman" w:hAnsi="Palatino Linotype"/>
          <w:color w:val="0D0D0D"/>
          <w:kern w:val="0"/>
          <w:szCs w:val="24"/>
          <w:lang w:val="id-ID" w:eastAsia="en-US"/>
        </w:rPr>
        <w:t>, mencari dan menemukan pola, menemukan apa yang penting dan apa yang dipelajari dan memutuskan apa yang dapat diceritakan kepada orang lain.</w:t>
      </w:r>
    </w:p>
    <w:p w:rsidR="009B3EC8" w:rsidRPr="009B3EC8" w:rsidRDefault="009B3EC8" w:rsidP="009B3EC8">
      <w:pPr>
        <w:widowControl/>
        <w:spacing w:after="120"/>
        <w:ind w:firstLineChars="300" w:firstLine="720"/>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Menurut Lexy J. Moleong, proses analisis data terdiri dari reduksi data, kategorisasi data, sintesisasi dan menyusun hipotesis kerja.</w:t>
      </w:r>
    </w:p>
    <w:bookmarkEnd w:id="4"/>
    <w:p w:rsidR="009B3EC8" w:rsidRPr="009B3EC8" w:rsidRDefault="009B3EC8" w:rsidP="009B3EC8">
      <w:pPr>
        <w:widowControl/>
        <w:numPr>
          <w:ilvl w:val="0"/>
          <w:numId w:val="25"/>
        </w:numPr>
        <w:spacing w:after="200"/>
        <w:ind w:left="284" w:hanging="284"/>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Reduksi data</w:t>
      </w:r>
    </w:p>
    <w:p w:rsidR="009B3EC8" w:rsidRPr="009B3EC8" w:rsidRDefault="009B3EC8" w:rsidP="009B3EC8">
      <w:pPr>
        <w:widowControl/>
        <w:ind w:left="284" w:firstLine="720"/>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 xml:space="preserve">Reduksi data dilakukan dengan cara mengidentifikasi satuan-satuan data yaitu bagian terkecil yang ditemukan dalam data yang memiliki makna bila dikaitkan dengan fokus dan masalah penelitian. Setelah satuan data diperoleh langkah selanjutnya adalah </w:t>
      </w:r>
      <w:r w:rsidRPr="009B3EC8">
        <w:rPr>
          <w:rFonts w:ascii="Palatino Linotype" w:eastAsia="Times New Roman" w:hAnsi="Palatino Linotype"/>
          <w:color w:val="0D0D0D"/>
          <w:kern w:val="0"/>
          <w:szCs w:val="24"/>
          <w:lang w:val="id-ID" w:eastAsia="en-US"/>
        </w:rPr>
        <w:lastRenderedPageBreak/>
        <w:t xml:space="preserve">membuat koding. Membuat koding berati memberikan kode pada setiap satuan data supaya data dapat ditelusuri tersebut bersumber dari mana. </w:t>
      </w:r>
    </w:p>
    <w:p w:rsidR="009B3EC8" w:rsidRPr="009B3EC8" w:rsidRDefault="009B3EC8" w:rsidP="009B3EC8">
      <w:pPr>
        <w:widowControl/>
        <w:numPr>
          <w:ilvl w:val="0"/>
          <w:numId w:val="25"/>
        </w:numPr>
        <w:spacing w:after="200"/>
        <w:ind w:left="284" w:hanging="284"/>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Kategorisasi</w:t>
      </w:r>
    </w:p>
    <w:p w:rsidR="009B3EC8" w:rsidRPr="009B3EC8" w:rsidRDefault="009B3EC8" w:rsidP="009B3EC8">
      <w:pPr>
        <w:widowControl/>
        <w:ind w:left="284" w:firstLine="720"/>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 xml:space="preserve">Kategorisasi adalah upaya memilih dan memilah setiap satuan ke dalam bagian-bagian yang memiliki kesamaan. Kategorisasi data dilakukan dengan cara mengumpulkan data-data kemudian dilakukan pengelompokan sesuai kategori dengan memberikan “label”. </w:t>
      </w:r>
    </w:p>
    <w:p w:rsidR="009B3EC8" w:rsidRPr="009B3EC8" w:rsidRDefault="009B3EC8" w:rsidP="009B3EC8">
      <w:pPr>
        <w:widowControl/>
        <w:numPr>
          <w:ilvl w:val="0"/>
          <w:numId w:val="25"/>
        </w:numPr>
        <w:spacing w:after="200"/>
        <w:ind w:left="284" w:hanging="284"/>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Sintesisasi</w:t>
      </w:r>
    </w:p>
    <w:p w:rsidR="009B3EC8" w:rsidRPr="009B3EC8" w:rsidRDefault="009B3EC8" w:rsidP="009B3EC8">
      <w:pPr>
        <w:widowControl/>
        <w:ind w:left="284" w:firstLine="720"/>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Mensintesis berarti mencari kaitan antara satu kategori dengan kategori lainnya. Sintesisasi dilakukan dengan mengaitkan satu kategori dengan kategori lainnya kemudian diberi “label” kembali.</w:t>
      </w:r>
    </w:p>
    <w:p w:rsidR="009B3EC8" w:rsidRPr="009B3EC8" w:rsidRDefault="009B3EC8" w:rsidP="009B3EC8">
      <w:pPr>
        <w:widowControl/>
        <w:numPr>
          <w:ilvl w:val="0"/>
          <w:numId w:val="25"/>
        </w:numPr>
        <w:spacing w:after="200"/>
        <w:ind w:left="284" w:hanging="284"/>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Menyusun hipotesis kerja</w:t>
      </w:r>
    </w:p>
    <w:p w:rsidR="002D1EC1" w:rsidRPr="009B3EC8" w:rsidRDefault="009B3EC8" w:rsidP="009B3EC8">
      <w:pPr>
        <w:widowControl/>
        <w:ind w:left="284" w:firstLine="720"/>
        <w:contextualSpacing/>
        <w:jc w:val="both"/>
        <w:rPr>
          <w:rFonts w:ascii="Palatino Linotype" w:eastAsia="Times New Roman" w:hAnsi="Palatino Linotype"/>
          <w:color w:val="0D0D0D"/>
          <w:kern w:val="0"/>
          <w:szCs w:val="24"/>
          <w:lang w:val="id-ID" w:eastAsia="en-US"/>
        </w:rPr>
      </w:pPr>
      <w:r w:rsidRPr="009B3EC8">
        <w:rPr>
          <w:rFonts w:ascii="Palatino Linotype" w:eastAsia="Times New Roman" w:hAnsi="Palatino Linotype"/>
          <w:color w:val="0D0D0D"/>
          <w:kern w:val="0"/>
          <w:szCs w:val="24"/>
          <w:lang w:val="id-ID" w:eastAsia="en-US"/>
        </w:rPr>
        <w:t xml:space="preserve">Setelah disintesis kemudian selanjutnya adalah menyusun jawaban dari pertanyaan penelitian dari data yang telah di reduksi, dikategorikan dan disintesisasi </w:t>
      </w:r>
      <w:r w:rsidR="00B02A30">
        <w:rPr>
          <w:rFonts w:ascii="Palatino Linotype" w:eastAsia="Times New Roman" w:hAnsi="Palatino Linotype"/>
          <w:color w:val="0D0D0D"/>
          <w:kern w:val="0"/>
          <w:szCs w:val="24"/>
          <w:lang w:val="id-ID" w:eastAsia="en-US"/>
        </w:rPr>
        <w:fldChar w:fldCharType="begin" w:fldLock="1"/>
      </w:r>
      <w:r w:rsidR="00B02A30">
        <w:rPr>
          <w:rFonts w:ascii="Palatino Linotype" w:eastAsia="Times New Roman" w:hAnsi="Palatino Linotype"/>
          <w:color w:val="0D0D0D"/>
          <w:kern w:val="0"/>
          <w:szCs w:val="24"/>
          <w:lang w:val="id-ID" w:eastAsia="en-US"/>
        </w:rPr>
        <w:instrText>ADDIN CSL_CITATION {"citationItems":[{"id":"ITEM-1","itemData":{"author":[{"dropping-particle":"","family":"Moleong","given":"Lexy J.","non-dropping-particle":"","parse-names":false,"suffix":""}],"id":"ITEM-1","issued":{"date-parts":[["2017"]]},"publisher":"Remaja Rosda Karya","publisher-place":"Bandung","title":"Metode Penelitian Kualitatif (Edisi Revisi)","type":"book"},"uris":["http://www.mendeley.com/documents/?uuid=0c6e6a94-45c6-4cf3-b7c5-fe3da9fd8c89"]}],"mendeley":{"formattedCitation":"(Moleong, 2017)","plainTextFormattedCitation":"(Moleong, 2017)","previouslyFormattedCitation":"(Moleong, 2017)"},"properties":{"noteIndex":0},"schema":"https://github.com/citation-style-language/schema/raw/master/csl-citation.json"}</w:instrText>
      </w:r>
      <w:r w:rsidR="00B02A30">
        <w:rPr>
          <w:rFonts w:ascii="Palatino Linotype" w:eastAsia="Times New Roman" w:hAnsi="Palatino Linotype"/>
          <w:color w:val="0D0D0D"/>
          <w:kern w:val="0"/>
          <w:szCs w:val="24"/>
          <w:lang w:val="id-ID" w:eastAsia="en-US"/>
        </w:rPr>
        <w:fldChar w:fldCharType="separate"/>
      </w:r>
      <w:r w:rsidRPr="009B3EC8">
        <w:rPr>
          <w:rFonts w:ascii="Palatino Linotype" w:eastAsia="Times New Roman" w:hAnsi="Palatino Linotype"/>
          <w:noProof/>
          <w:color w:val="0D0D0D"/>
          <w:kern w:val="0"/>
          <w:szCs w:val="24"/>
          <w:lang w:val="id-ID" w:eastAsia="en-US"/>
        </w:rPr>
        <w:t>(Moleong, 2017)</w:t>
      </w:r>
      <w:r w:rsidR="00B02A30">
        <w:rPr>
          <w:rFonts w:ascii="Palatino Linotype" w:eastAsia="Times New Roman" w:hAnsi="Palatino Linotype"/>
          <w:color w:val="0D0D0D"/>
          <w:kern w:val="0"/>
          <w:szCs w:val="24"/>
          <w:lang w:val="id-ID" w:eastAsia="en-US"/>
        </w:rPr>
        <w:fldChar w:fldCharType="end"/>
      </w:r>
      <w:r w:rsidRPr="009B3EC8">
        <w:rPr>
          <w:rFonts w:ascii="Palatino Linotype" w:eastAsia="Times New Roman" w:hAnsi="Palatino Linotype"/>
          <w:color w:val="0D0D0D"/>
          <w:kern w:val="0"/>
          <w:szCs w:val="24"/>
          <w:lang w:val="id-ID" w:eastAsia="en-US"/>
        </w:rPr>
        <w:t>.</w:t>
      </w:r>
      <w:r w:rsidR="00FD7A12" w:rsidRPr="00E215D6">
        <w:rPr>
          <w:rFonts w:ascii="Palatino Linotype" w:hAnsi="Palatino Linotype" w:cs="Calibri"/>
          <w:szCs w:val="24"/>
          <w:lang w:val="id-ID"/>
        </w:rPr>
        <w:t xml:space="preserve"> </w:t>
      </w:r>
    </w:p>
    <w:p w:rsidR="00674D0C" w:rsidRDefault="00905307" w:rsidP="00674D0C">
      <w:pPr>
        <w:spacing w:after="120"/>
        <w:jc w:val="both"/>
        <w:rPr>
          <w:rFonts w:ascii="Palatino Linotype" w:hAnsi="Palatino Linotype"/>
          <w:b/>
          <w:sz w:val="26"/>
          <w:szCs w:val="26"/>
          <w:lang w:val="id-ID"/>
        </w:rPr>
      </w:pPr>
      <w:r w:rsidRPr="00E215D6">
        <w:rPr>
          <w:rFonts w:ascii="Palatino Linotype" w:hAnsi="Palatino Linotype"/>
          <w:b/>
          <w:sz w:val="26"/>
          <w:szCs w:val="26"/>
          <w:lang w:val="id-ID"/>
        </w:rPr>
        <w:t>HASIL DAN PEMBAHASAN</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eastAsia="en-US"/>
        </w:rPr>
        <w:t xml:space="preserve">Dalam masa pandemi, pemerintah Indonesia memutuskan untuk memperhatikan tiga sektor, yaitu kesehatan, sektor riil dan perbankan. Pandemi Covid-19 menjadi permasalahan bagi perbankan, karena bisa menghasilkan permasalahan di sektor riil atau dunia usaha yang berpotensi menimbulkan persoalan di sektor perbankan. Hal ini tentu saja bisa </w:t>
      </w:r>
      <w:r w:rsidRPr="009B3EC8">
        <w:rPr>
          <w:rFonts w:ascii="Palatino Linotype" w:eastAsia="Times New Roman" w:hAnsi="Palatino Linotype"/>
          <w:color w:val="000000"/>
          <w:kern w:val="0"/>
          <w:szCs w:val="24"/>
          <w:lang w:val="id-ID" w:eastAsia="en-US"/>
        </w:rPr>
        <w:t>terjadi</w:t>
      </w:r>
      <w:r w:rsidRPr="009B3EC8">
        <w:rPr>
          <w:rFonts w:ascii="Palatino Linotype" w:hAnsi="Palatino Linotype"/>
          <w:color w:val="000000"/>
          <w:kern w:val="0"/>
          <w:szCs w:val="24"/>
          <w:lang w:eastAsia="en-US"/>
        </w:rPr>
        <w:t xml:space="preserve">, dikarenakan sektor perbankan merupakan lembaga intermediasi atau perantara yang mendukung kebutuhan dana investasi bagi dunia usaha. Perbankan syariah di Indoneisa menghadapi sejumlah tantangan di tengah wabah Covid-19. </w:t>
      </w:r>
      <w:r w:rsidRPr="009B3EC8">
        <w:rPr>
          <w:rFonts w:ascii="Palatino Linotype" w:eastAsia="Times New Roman" w:hAnsi="Palatino Linotype"/>
          <w:color w:val="0D0D0D"/>
          <w:kern w:val="0"/>
          <w:szCs w:val="24"/>
          <w:lang w:val="id-ID" w:eastAsia="en-US"/>
        </w:rPr>
        <w:t>Menurut</w:t>
      </w:r>
      <w:r w:rsidRPr="009B3EC8">
        <w:rPr>
          <w:rFonts w:ascii="Palatino Linotype" w:hAnsi="Palatino Linotype"/>
          <w:color w:val="000000"/>
          <w:kern w:val="0"/>
          <w:szCs w:val="24"/>
          <w:lang w:eastAsia="en-US"/>
        </w:rPr>
        <w:t xml:space="preserve"> Pengamat Ekonomi Syariah yang juga pendiri Karim Consulting, Adiwarman Karim menyampaikan kondisi industri Perbankan Syariah bisa lebih dulu memburuk daripada industri bank konvensional. Di masa pandemi Covid-19 saat ini, perbankan syariah akan menghadapi beberapa kemungkinan resiko, seperti resiko pembiayaan macet (NPF), resiko pasar dan resiko likuiditas. Oleh karenanya, resiko tersebut pada akhirnya akan memiliki dampak terhadap kinerja dan profitabilitas perbankan Syariah</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{"citationItems":[{"id":"ITEM-1","itemData":{"DOI":"10.25299/jtb.2021.vol4(1).6068","ISSN":"2621-6833","abstract":"Perbankan syariah di Indoneisa menghadapi sejumlah tantangan di tengah wabah Covid-19. Di masa pandemi Covid 19 saat ini, Perbankan syariah akan menghadapi beberapa kemungkinan resiko terhadap kinerja keuangan. Untuk itu perlu di lakukan Penelitian untuk menganalisis dampak Covid-19 terhadap kinerja keuangan Perbankan Syariah dengan melakukan analisa Laporan Keuangan menggunakan rasio keuangan yaitu rasio Return On Asset (ROA), Capital Adequacy Ratio (CAR), Non Performing Finance (NPF) dan Financing Deposit to Ratio (FDR). Penelitian ini adalah penelitian kuantitatif dengan pendekatan deskriptif. Data yang diambil adalah 6 Bulan (September 2019-Februari 2020) sebelum  dan 6 Bulan  (April 2020-September 2020) setelah diumumkannya kasus pertama Covid-19 yaitu pada 2 Maret 2020. Data diolah dengan paired sample t-tes, dengan menggunakan SPSS versi 25. Dari hasil pengolah data, menunjukkan Secara keseluruhan dampak Covid-19 terhadap kinerja keuangan perbankan syariah di Indonesia yang dilihat dari hasil tabel Uji Beda (Uji Paired Sample T-Test) rasio CAR, ROA, NPF dan FDR tidak signifikan menunjukan adanya perbedaan kinerja keuangan.","author":[{"dropping-particle":"","family":"Ilhami","given":"","non-dropping-particle":"","parse-names":false,"suffix":""},{"dropping-particle":"","family":"Thamrin","given":"Husni","non-dropping-particle":"","parse-names":false,"suffix":""}],"container-title":"Jurnal Tabarru': Islamic Banking and Finance","id":"ITEM-1","issue":"1","issued":{"date-parts":[["2021"]]},"page":"37-45","title":"Analisis Dampak Covid 19 Terhadap Kinerja Keuangan Perbankan Syariah Di Indonesia","type":"article-journal","volume":"4"},"uris":["http://www.mendeley.com/documents/?uuid=2631a752-3977-4632-82a7-8af803ad89e4"]}],"mendeley":{"formattedCitation":"(Ilhami &amp; Thamrin, 2021)","plainTextFormattedCitation":"(Ilhami &amp; Thamrin, 2021)","previouslyFormattedCitation":"(Ilhami &amp; Thamrin,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(Ilhami &amp; Thamrin,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eastAsia="en-US"/>
        </w:rPr>
        <w:t xml:space="preserve">Pada tahun 2021, diperkirakan umat Muslim mengeluarkan US$2 triliun untuk sektor makanan, farmasi dan gaya hidup yang sesuai dengan prinsip syariah. Nilai tersebut mencerminkan 8,9% pertumbuhan dari tahun sebelumnya dan diperkirakan akan mencapai US$2,8 triliun pada </w:t>
      </w:r>
      <w:r w:rsidRPr="009B3EC8">
        <w:rPr>
          <w:rFonts w:ascii="Palatino Linotype" w:hAnsi="Palatino Linotype"/>
          <w:color w:val="000000"/>
          <w:kern w:val="0"/>
          <w:szCs w:val="24"/>
          <w:lang w:eastAsia="en-US"/>
        </w:rPr>
        <w:lastRenderedPageBreak/>
        <w:t>tahun 2025 (dengan asumsi CAGR 7,5%). Terlepas dari berlanjutnya ketidakpastian ekonomi akibat pandemi, pengeluaran Muslim global 2022 untuk sektor ekonomi syariah diperkirakan tumbuh sebesar 9,1% pada tahun 2022. Seluruh sektor ekonomi syariah (Islamic Finance, Halal Food, Modest Fashion, Media &amp; Recreation, dan Pharma &amp; Cosmetics), kecuali Halal Travel, telah kembali pulih pada akhir tahun 2021, Ekonomi dan Keuangan Syariah Global ke tingkat pengeluaran sebelum terjadinya pandemi. Dampak pandemi Covid-19 pada setahun terakhir terhadap berbagai sektor ekonomi syariah tercatat berbeda-beda. Pengeluaran penduduk Muslim untuk Halal Food dan Modest Fashion tetap positif pada 2020 (+1,5% dan +1%) disaat pengeluaran global untuk sektor tersebut menunjukkan angka yang negatif (-0,9% dan -6,3%)</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 xml:space="preserve">. </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eastAsia="en-US"/>
        </w:rPr>
        <w:t>Di sisi lain, penurunan pengeluaran baik dari sisi global maupun penduduk Muslim terlihat pada sektor lainnya. Misalnya pada sektor Halal Cosmetics, pengeluaran global tercatat turun sebesar -6,5% selama 2020, namun pengeluaran penduduk Muslim mencatatkan kinerja yang lebih baik, dengan penurunan sebesar -2,3%. Investasi pada ekonomi syariah juga menunjukkan pemulihan dari dampak pandemi COVID-19, ditandai dengan peningkatan 118% dari US$11,8 miliar menjadi US$25,7 miliar pada 2020/21. Dari sisi jumlah transaksi untuk investasi ekonomi syariah, seperti merger &amp; acquisition, private equity dan modal ventura juga menunjukkan peningkatan dari 156 transaksi tahun lalu menjadi 210 transaksi di 2020/21. Investasi pada ekonomi syariah ini didominasi oleh 6 (enam) negara, yaitu UEA, Indonesia, Malaysia, Arab Saudi, Mesir dan Turki, dengan masing-masing negara mencatatkan lebih dari 20 transaksi pada tahun tersebut</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eastAsia="en-US"/>
        </w:rPr>
        <w:t>Aset keuangan syariah global telah mencapai US$3,37 triliun pada tahun 2020. Angka tersebut meningkat 13,8% dari tahun sebelumnya yaitu US$2,96 triliun, menandakan tetap tumbuhnya industri keuangan syariah global meskipun dihantam oleh perlambatan ekonomi akibat pandemi Covid-19. Industri keuangan syariah global diperkirakan dapat terus tumbuh hingga US$4,94 triliun pada tahun 2025, dengan pertumbuhan ratarata 8% pada 5 (lima) tahun ke depan</w:t>
      </w:r>
      <w:r w:rsidRPr="009B3EC8">
        <w:rPr>
          <w:rFonts w:ascii="Palatino Linotype" w:hAnsi="Palatino Linotype"/>
          <w:color w:val="000000"/>
          <w:kern w:val="0"/>
          <w:szCs w:val="24"/>
          <w:lang w:val="id-ID" w:eastAsia="en-US"/>
        </w:rPr>
        <w:t xml:space="preserve">. Apabila dilihat dari pertumbuhan masing-masing sektor keuangan syariah, terlihat bahwa hampir seluruh sektor keuangan syariah (perbankan syariah, takaful, </w:t>
      </w:r>
      <w:r w:rsidRPr="009B3EC8">
        <w:rPr>
          <w:rFonts w:ascii="Palatino Linotype" w:hAnsi="Palatino Linotype"/>
          <w:color w:val="000000"/>
          <w:kern w:val="0"/>
          <w:szCs w:val="24"/>
          <w:lang w:val="id-ID" w:eastAsia="en-US"/>
        </w:rPr>
        <w:lastRenderedPageBreak/>
        <w:t xml:space="preserve">sukuk dan reksadana syariah) tetap dapat mencatatkan pertumbuhan double-digit pada 2020. </w:t>
      </w:r>
      <w:r w:rsidRPr="009B3EC8">
        <w:rPr>
          <w:rFonts w:ascii="Palatino Linotype" w:hAnsi="Palatino Linotype"/>
          <w:color w:val="000000"/>
          <w:kern w:val="0"/>
          <w:szCs w:val="24"/>
          <w:lang w:eastAsia="en-US"/>
        </w:rPr>
        <w:t xml:space="preserve">Hanya satu sektor keuangan syariah, yaitu </w:t>
      </w:r>
      <w:r w:rsidRPr="009B3EC8">
        <w:rPr>
          <w:rFonts w:ascii="Palatino Linotype" w:hAnsi="Palatino Linotype"/>
          <w:i/>
          <w:iCs/>
          <w:color w:val="000000"/>
          <w:kern w:val="0"/>
          <w:szCs w:val="24"/>
          <w:lang w:eastAsia="en-US"/>
        </w:rPr>
        <w:t>Other Islamic Financial Institution</w:t>
      </w:r>
      <w:r w:rsidRPr="009B3EC8">
        <w:rPr>
          <w:rFonts w:ascii="Palatino Linotype" w:hAnsi="Palatino Linotype"/>
          <w:color w:val="000000"/>
          <w:kern w:val="0"/>
          <w:szCs w:val="24"/>
          <w:lang w:eastAsia="en-US"/>
        </w:rPr>
        <w:t>, yang tumbuh kurang optimal, yakni hanya mencatatkan pertumbuhan 1% selama 2020. Pertumbuhan yang kurang optimal ini dipengaruhi oleh jatuhnya harga minyak dan tekanan pada sektor real-estate</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eastAsia="en-US"/>
        </w:rPr>
      </w:pPr>
      <w:r w:rsidRPr="009B3EC8">
        <w:rPr>
          <w:rFonts w:ascii="Palatino Linotype" w:hAnsi="Palatino Linotype"/>
          <w:color w:val="000000"/>
          <w:kern w:val="0"/>
          <w:szCs w:val="24"/>
          <w:lang w:eastAsia="en-US"/>
        </w:rPr>
        <w:t>Pandemi Covid-19 mendorong lembaga keuangan syariah untuk berpikir inovatif dalam mengurangi dampak buruk akibat pandemi, seperti percepatan transformasi digital produk dan layanan keuangan syariah. Pandemi juga membuat sektor berbasis teknologi seperti fintech syariah cukup menonjol, ditandai dengan banyaknya kemitraan antara perbankan syariah dan fintech syariah. Selain itu, tren lain yang muncul di kala pandemi adalah tren keuangan syariah yang berkelanjutan, seperti banyaknya penerbitan green sukuk, reksadana syariah berbasis proyek berkelanjutan dan instrumen keuangan hijau lainnya</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eastAsia="en-US"/>
        </w:rPr>
        <w:t>.</w:t>
      </w:r>
    </w:p>
    <w:p w:rsidR="009B3EC8" w:rsidRPr="009B3EC8" w:rsidRDefault="001F7597" w:rsidP="009B3EC8">
      <w:pPr>
        <w:widowControl/>
        <w:spacing w:after="120"/>
        <w:ind w:firstLineChars="300" w:firstLine="720"/>
        <w:jc w:val="center"/>
        <w:rPr>
          <w:rFonts w:ascii="Palatino Linotype" w:hAnsi="Palatino Linotype"/>
          <w:color w:val="000000"/>
          <w:kern w:val="0"/>
          <w:szCs w:val="24"/>
          <w:lang w:eastAsia="en-US"/>
        </w:rPr>
      </w:pPr>
      <w:r w:rsidRPr="009B3EC8">
        <w:rPr>
          <w:rFonts w:ascii="Palatino Linotype" w:hAnsi="Palatino Linotype"/>
          <w:noProof/>
          <w:color w:val="000000"/>
          <w:kern w:val="0"/>
          <w:szCs w:val="24"/>
          <w:lang w:eastAsia="en-US"/>
        </w:rPr>
        <w:drawing>
          <wp:inline distT="0" distB="0" distL="0" distR="0">
            <wp:extent cx="4448175" cy="2647950"/>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8584" t="35078" r="8125" b="17873"/>
                    <a:stretch>
                      <a:fillRect/>
                    </a:stretch>
                  </pic:blipFill>
                  <pic:spPr bwMode="auto">
                    <a:xfrm>
                      <a:off x="0" y="0"/>
                      <a:ext cx="4448175" cy="2647950"/>
                    </a:xfrm>
                    <a:prstGeom prst="rect">
                      <a:avLst/>
                    </a:prstGeom>
                    <a:noFill/>
                    <a:ln>
                      <a:noFill/>
                    </a:ln>
                  </pic:spPr>
                </pic:pic>
              </a:graphicData>
            </a:graphic>
          </wp:inline>
        </w:drawing>
      </w:r>
    </w:p>
    <w:p w:rsidR="009B3EC8" w:rsidRPr="009B3EC8" w:rsidRDefault="009B3EC8" w:rsidP="009B3EC8">
      <w:pPr>
        <w:widowControl/>
        <w:spacing w:after="120"/>
        <w:ind w:firstLineChars="300" w:firstLine="720"/>
        <w:jc w:val="center"/>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Gambar 1. Pertumbuhan Aset Keuangan Syariah 2014-2021</w:t>
      </w:r>
    </w:p>
    <w:p w:rsidR="009B3EC8" w:rsidRPr="009B3EC8" w:rsidRDefault="009B3EC8" w:rsidP="009B3EC8">
      <w:pPr>
        <w:widowControl/>
        <w:spacing w:after="120"/>
        <w:ind w:firstLineChars="300" w:firstLine="720"/>
        <w:jc w:val="center"/>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Sumber: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eastAsia="en-US"/>
        </w:rPr>
        <w:t xml:space="preserve">Pada tahun 2020, total aset keuangan syariah Indonesia telah mencapai US$119 miliar, meningkat dari tahun sebelumnya sebesar US$99 miliar. Peningkatan total aset tersebut menempatkan Indonesia pada posisi ke-7 dengan total aset keuangan syariah terbesar di dunia. Peningkatan </w:t>
      </w:r>
      <w:r w:rsidRPr="009B3EC8">
        <w:rPr>
          <w:rFonts w:ascii="Palatino Linotype" w:hAnsi="Palatino Linotype"/>
          <w:color w:val="000000"/>
          <w:kern w:val="0"/>
          <w:szCs w:val="24"/>
          <w:lang w:eastAsia="en-US"/>
        </w:rPr>
        <w:lastRenderedPageBreak/>
        <w:t>terbesar berada pada instrumen sukuk dari US$57 miliar menjadi US$73 miliar. Kenaikan tersebut disebabkan oleh penggunaan sukuk produk keuangan syariah untuk mengurangi dampak ekonomi akibat pandemi Covid-19. Indonesia merupakan salah satu negara dengan presensi yang kuat untuk industri keuangan syariah, ditandai dengan sektor keuangan syariah Indonesia seperti perbankan syariah, asuransi syariah, sukuk dan reksadana syariah, yang menempati peringkat sepuluh teratas dunia dalam hal total aset. Sektor lain seperti lembaga keuangan non-bank syariah lainnya yang kini belum memiliki cukup presensi pada industri keuangan syariah global, perlu didorong untuk mengoptimalkan pertumbuhannya.</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Secara aspek kualitatif, keuangan syariah Indonesia juga masih mencatatkan prestasi yang baik di masa pandemi, dibuktikan dengan mempertahankan peringkat ke-2 dalam Islamic Finance Development Indicator 2021 yang dipublikasikan oleh Islamic Finance Development Report 2021. Sama halnya seperti tahun sebelumnya, peringkat Indonesia di dukung oleh 2 (dua) indikator, pertama adalah Knowledge yang menempati peringkat pertama bersama Malaysia, ditandai oleh jumlah lembaga pendidikan keuangan syariah terbanyak dan merupakan negara ke-2 yang menghasilkan research papers keuangan syariah terbanyak. Indikator kedua adalah Awareness yang menempati peringkat ke-3 setelah Malaysia dan Bahran, ditandai dengan banyaknya acara seminar dan konferensi yang membahas topik seputar keuangan Syariah</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{"citationItems":[{"id":"ITEM-1","itemData":{"author":[{"dropping-particle":"","family":"Otoritas Jasa Keuangan","given":"","non-dropping-particle":"","parse-names":false,"suffix":""}],"container-title":"https://www.ojk.go.id/id/berita-dan-kegiatan/info-terkini/Pages/Laporan-Perkembangan-Keuangan-Syariah-Indonesia-(LPKSI)-2020-.aspx","id":"ITEM-1","issued":{"date-parts":[["2021"]]},"title":"Laporan Perkembangan Keuangan Syariah Indonesia (LPKSI) 2020","type":"webpage"},"uris":["http://www.mendeley.com/documents/?uuid=31c1752c-c58c-4ef0-b6c0-79542c9908d1"]}],"mendeley":{"formattedCitation":"(Otoritas Jasa Keuangan, 2021)","plainTextFormattedCitation":"(Otoritas Jasa Keuangan, 2021)","previouslyFormattedCitation":"(Otoritas Jasa Keuangan,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(Otoritas Jasa Keuangan,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Di tahun kedua pandemi Covid-19 Aset Keuangan Syariah Indonesia </w:t>
      </w:r>
      <w:bookmarkStart w:id="5" w:name="_Hlk108556278"/>
      <w:r w:rsidRPr="009B3EC8">
        <w:rPr>
          <w:rFonts w:ascii="Palatino Linotype" w:hAnsi="Palatino Linotype"/>
          <w:color w:val="000000"/>
          <w:kern w:val="0"/>
          <w:szCs w:val="24"/>
          <w:lang w:val="id-ID" w:eastAsia="en-US"/>
        </w:rPr>
        <w:t xml:space="preserve">Tumbuh 13,82% (yoy) menjadi Rp. 2.050,44 triliun meningkat dari tahun sebelumnya sebesar Rp. 1.801, 40 triliun. Pasar Modal Syariah yang memiliki porsi terbesar aset keuangan syariah </w:t>
      </w:r>
      <w:r w:rsidRPr="009B3EC8">
        <w:rPr>
          <w:rFonts w:ascii="Palatino Linotype" w:hAnsi="Palatino Linotype"/>
          <w:color w:val="000000"/>
          <w:kern w:val="0"/>
          <w:szCs w:val="24"/>
          <w:lang w:eastAsia="en-US"/>
        </w:rPr>
        <w:t>(60,27%) mengalami pertumbuhan tertinggi di antara sektor lainnya dengan laju 14,83% (yoy). Perbankan Syariah dengan pangsa pasar 33,83% dari keuangan syariah tumbuh sebesar 13,94% (yoy). Sementara itu, IKNB Syariah yang memiliki porsi sebesar 5,90% dari total aset keuangan syariah juga mengalami pertumbuhan sebesar 3,90% (yoy).</w:t>
      </w:r>
    </w:p>
    <w:bookmarkEnd w:id="5"/>
    <w:p w:rsidR="009B3EC8" w:rsidRPr="009B3EC8" w:rsidRDefault="001F7597" w:rsidP="009B3EC8">
      <w:pPr>
        <w:widowControl/>
        <w:spacing w:after="120"/>
        <w:ind w:firstLineChars="300" w:firstLine="720"/>
        <w:jc w:val="center"/>
        <w:rPr>
          <w:rFonts w:ascii="Palatino Linotype" w:hAnsi="Palatino Linotype"/>
          <w:color w:val="000000"/>
          <w:kern w:val="0"/>
          <w:szCs w:val="24"/>
          <w:lang w:val="id-ID" w:eastAsia="en-US"/>
        </w:rPr>
      </w:pPr>
      <w:r w:rsidRPr="009B3EC8">
        <w:rPr>
          <w:rFonts w:ascii="Palatino Linotype" w:hAnsi="Palatino Linotype"/>
          <w:noProof/>
          <w:color w:val="000000"/>
          <w:kern w:val="0"/>
          <w:szCs w:val="24"/>
          <w:lang w:eastAsia="en-US"/>
        </w:rPr>
        <w:lastRenderedPageBreak/>
        <w:drawing>
          <wp:inline distT="0" distB="0" distL="0" distR="0">
            <wp:extent cx="4162425" cy="3000375"/>
            <wp:effectExtent l="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l="52269" t="18820" r="3314" b="18159"/>
                    <a:stretch>
                      <a:fillRect/>
                    </a:stretch>
                  </pic:blipFill>
                  <pic:spPr bwMode="auto">
                    <a:xfrm>
                      <a:off x="0" y="0"/>
                      <a:ext cx="4162425" cy="3000375"/>
                    </a:xfrm>
                    <a:prstGeom prst="rect">
                      <a:avLst/>
                    </a:prstGeom>
                    <a:noFill/>
                    <a:ln>
                      <a:noFill/>
                    </a:ln>
                  </pic:spPr>
                </pic:pic>
              </a:graphicData>
            </a:graphic>
          </wp:inline>
        </w:drawing>
      </w:r>
    </w:p>
    <w:p w:rsidR="009B3EC8" w:rsidRPr="009B3EC8" w:rsidRDefault="009B3EC8" w:rsidP="009B3EC8">
      <w:pPr>
        <w:widowControl/>
        <w:spacing w:after="120"/>
        <w:ind w:firstLineChars="300" w:firstLine="720"/>
        <w:jc w:val="center"/>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Gambar 2. Aset Keuangan Syariah</w:t>
      </w:r>
    </w:p>
    <w:p w:rsidR="009B3EC8" w:rsidRPr="009B3EC8" w:rsidRDefault="009B3EC8" w:rsidP="009B3EC8">
      <w:pPr>
        <w:widowControl/>
        <w:spacing w:after="120"/>
        <w:ind w:firstLineChars="300" w:firstLine="720"/>
        <w:rPr>
          <w:rFonts w:ascii="Palatino Linotype" w:hAnsi="Palatino Linotype"/>
          <w:color w:val="000000"/>
          <w:kern w:val="0"/>
          <w:szCs w:val="24"/>
          <w:lang w:val="id-ID" w:eastAsia="en-US"/>
        </w:rPr>
      </w:pP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Dengan demikian dapat disimpulkan bahwa industri keuangan syariah mengalami pertumbuhan yang positif di masa pandemi Covid-19. </w:t>
      </w:r>
      <w:r w:rsidRPr="009B3EC8">
        <w:rPr>
          <w:rFonts w:ascii="Palatino Linotype" w:hAnsi="Palatino Linotype"/>
          <w:color w:val="000000"/>
          <w:kern w:val="0"/>
          <w:szCs w:val="24"/>
          <w:lang w:eastAsia="en-US"/>
        </w:rPr>
        <w:t>Dalam upaya menghadapi resesi</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eastAsia="en-US"/>
        </w:rPr>
        <w:t>ada beberapa hal yang dapat dilakukan oleh perbankan.</w:t>
      </w:r>
      <w:r w:rsidRPr="009B3EC8">
        <w:rPr>
          <w:rFonts w:ascii="Palatino Linotype" w:hAnsi="Palatino Linotype"/>
          <w:color w:val="000000"/>
          <w:kern w:val="0"/>
          <w:szCs w:val="24"/>
          <w:lang w:val="id-ID" w:eastAsia="en-US"/>
        </w:rPr>
        <w:t xml:space="preserve"> </w:t>
      </w:r>
      <w:r w:rsidRPr="009B3EC8">
        <w:rPr>
          <w:rFonts w:ascii="Palatino Linotype" w:hAnsi="Palatino Linotype"/>
          <w:i/>
          <w:iCs/>
          <w:color w:val="000000"/>
          <w:kern w:val="0"/>
          <w:szCs w:val="24"/>
          <w:lang w:val="id-ID" w:eastAsia="en-US"/>
        </w:rPr>
        <w:t>Pertama,</w:t>
      </w:r>
      <w:r w:rsidRPr="009B3EC8">
        <w:rPr>
          <w:rFonts w:ascii="Palatino Linotype" w:hAnsi="Palatino Linotype"/>
          <w:color w:val="000000"/>
          <w:kern w:val="0"/>
          <w:szCs w:val="24"/>
          <w:lang w:val="id-ID" w:eastAsia="en-US"/>
        </w:rPr>
        <w:t xml:space="preserve"> perbankan harus mampu mengidentifikasi dampak Covid-19 terhadap sektor riil, pertumbuhan ekonomi, kinerja nasabah pembiayaan dan aspek lainnya yang memengaruhi kesehatan perbankan. </w:t>
      </w:r>
      <w:r w:rsidRPr="009B3EC8">
        <w:rPr>
          <w:rFonts w:ascii="Palatino Linotype" w:hAnsi="Palatino Linotype"/>
          <w:color w:val="000000"/>
          <w:kern w:val="0"/>
          <w:szCs w:val="24"/>
          <w:lang w:eastAsia="en-US"/>
        </w:rPr>
        <w:t>Kemudian, perbankan juga harus menyusun berbagai skenario dampak Covid 19 terhadap perekonomian dan efek rembetan pada kinerja perbankan.</w:t>
      </w:r>
      <w:r w:rsidRPr="009B3EC8">
        <w:rPr>
          <w:rFonts w:ascii="Palatino Linotype" w:hAnsi="Palatino Linotype"/>
          <w:color w:val="000000"/>
          <w:kern w:val="0"/>
          <w:szCs w:val="24"/>
          <w:lang w:val="id-ID" w:eastAsia="en-US"/>
        </w:rPr>
        <w:t xml:space="preserve"> </w:t>
      </w:r>
      <w:r w:rsidRPr="009B3EC8">
        <w:rPr>
          <w:rFonts w:ascii="Palatino Linotype" w:hAnsi="Palatino Linotype"/>
          <w:i/>
          <w:iCs/>
          <w:color w:val="000000"/>
          <w:kern w:val="0"/>
          <w:szCs w:val="24"/>
          <w:lang w:eastAsia="en-US"/>
        </w:rPr>
        <w:t>Kedua</w:t>
      </w:r>
      <w:r w:rsidRPr="009B3EC8">
        <w:rPr>
          <w:rFonts w:ascii="Palatino Linotype" w:hAnsi="Palatino Linotype"/>
          <w:color w:val="000000"/>
          <w:kern w:val="0"/>
          <w:szCs w:val="24"/>
          <w:lang w:eastAsia="en-US"/>
        </w:rPr>
        <w:t>, perbankan harus memitigasi risiko kredit dan kecukupan likuiditas. Hal tersebut dapat dilakukan dengan memahami sektor ekonomi dan nasabah pembiayaan terdampak beserta kinerjanya. Perbankan juga harus mengaktifkan sistem peringatan dini dan menyusun skenario restrukturisasi serta upaya penyelamatan nasabah pembiayaan.</w:t>
      </w:r>
      <w:r w:rsidRPr="009B3EC8">
        <w:rPr>
          <w:rFonts w:ascii="Palatino Linotype" w:hAnsi="Palatino Linotype"/>
          <w:color w:val="000000"/>
          <w:kern w:val="0"/>
          <w:szCs w:val="24"/>
          <w:lang w:val="id-ID" w:eastAsia="en-US"/>
        </w:rPr>
        <w:t xml:space="preserve"> </w:t>
      </w:r>
      <w:r w:rsidRPr="009B3EC8">
        <w:rPr>
          <w:rFonts w:ascii="Palatino Linotype" w:hAnsi="Palatino Linotype"/>
          <w:i/>
          <w:iCs/>
          <w:color w:val="000000"/>
          <w:kern w:val="0"/>
          <w:szCs w:val="24"/>
          <w:lang w:eastAsia="en-US"/>
        </w:rPr>
        <w:t>Ketiga</w:t>
      </w:r>
      <w:r w:rsidRPr="009B3EC8">
        <w:rPr>
          <w:rFonts w:ascii="Palatino Linotype" w:hAnsi="Palatino Linotype"/>
          <w:color w:val="000000"/>
          <w:kern w:val="0"/>
          <w:szCs w:val="24"/>
          <w:lang w:eastAsia="en-US"/>
        </w:rPr>
        <w:t>, perbankan harus melaksanakan </w:t>
      </w:r>
      <w:r w:rsidRPr="009B3EC8">
        <w:rPr>
          <w:rFonts w:ascii="Palatino Linotype" w:hAnsi="Palatino Linotype"/>
          <w:i/>
          <w:iCs/>
          <w:color w:val="000000"/>
          <w:kern w:val="0"/>
          <w:szCs w:val="24"/>
          <w:lang w:eastAsia="en-US"/>
        </w:rPr>
        <w:t>stress test</w:t>
      </w:r>
      <w:r w:rsidRPr="009B3EC8">
        <w:rPr>
          <w:rFonts w:ascii="Palatino Linotype" w:hAnsi="Palatino Linotype"/>
          <w:color w:val="000000"/>
          <w:kern w:val="0"/>
          <w:szCs w:val="24"/>
          <w:lang w:eastAsia="en-US"/>
        </w:rPr>
        <w:t> kecukupan modal dan likuiditas. Sehingga, perbankan perlu melakukan analisis skenario terhadap kebutuhan dan ketersediaan modal terkait dengan peningkatan risiko kredit. Kemudian, perlu dilakukan identifikasi gap likuiditas dan uji berbagai strategi tersebut.</w:t>
      </w:r>
      <w:r w:rsidRPr="009B3EC8">
        <w:rPr>
          <w:rFonts w:ascii="Palatino Linotype" w:hAnsi="Palatino Linotype"/>
          <w:color w:val="000000"/>
          <w:kern w:val="0"/>
          <w:szCs w:val="24"/>
          <w:lang w:val="id-ID" w:eastAsia="en-US"/>
        </w:rPr>
        <w:t xml:space="preserve"> </w:t>
      </w:r>
      <w:r w:rsidRPr="009B3EC8">
        <w:rPr>
          <w:rFonts w:ascii="Palatino Linotype" w:hAnsi="Palatino Linotype"/>
          <w:i/>
          <w:iCs/>
          <w:color w:val="000000"/>
          <w:kern w:val="0"/>
          <w:szCs w:val="24"/>
          <w:lang w:eastAsia="en-US"/>
        </w:rPr>
        <w:t>Keempat</w:t>
      </w:r>
      <w:r w:rsidRPr="009B3EC8">
        <w:rPr>
          <w:rFonts w:ascii="Palatino Linotype" w:hAnsi="Palatino Linotype"/>
          <w:color w:val="000000"/>
          <w:kern w:val="0"/>
          <w:szCs w:val="24"/>
          <w:lang w:eastAsia="en-US"/>
        </w:rPr>
        <w:t xml:space="preserve">, perbankan juga harus mengoptimalisasi pengelolaan portfolio dengan mengidentifikasi portfofolio yang rentan </w:t>
      </w:r>
      <w:r w:rsidRPr="009B3EC8">
        <w:rPr>
          <w:rFonts w:ascii="Palatino Linotype" w:hAnsi="Palatino Linotype"/>
          <w:color w:val="000000"/>
          <w:kern w:val="0"/>
          <w:szCs w:val="24"/>
          <w:lang w:eastAsia="en-US"/>
        </w:rPr>
        <w:lastRenderedPageBreak/>
        <w:t>terpengaruh dan terdampak. Kemudian, perbankan juga harus optimalisasi alokasi modal dan ketersediaan likuiditas dan terapkan berbagai skenario krisis.</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Dimasa pandemi Covid-19 industri keuangan syariah harus menggunakan strategi yang tepat agar tetap bertahan. Penelitian yang dilakukan oleh A’yun dan Latifah menyebutkan bahwa industri keuangan syariah melakukan strategi pemasarannya melalui web/platform maupun digital banking ini adalah sebuah kemajuan teknologi dengan menkonversikan layanan melalui digital banking guna kenyamanan dan kemudahan nasabah dalam menerima fasilitas pelayanan bank syariah, kemudian bank syariah melakukan OTS (On The Spot) dengan menggunakan video call/zoom</w:t>
      </w:r>
      <w:r w:rsidRPr="009B3EC8">
        <w:rPr>
          <w:rFonts w:ascii="Palatino Linotype" w:hAnsi="Palatino Linotype"/>
          <w:color w:val="000000"/>
          <w:kern w:val="0"/>
          <w:szCs w:val="24"/>
          <w:lang w:eastAsia="en-US"/>
        </w:rPr>
        <w:t xml:space="preserve"> </w:t>
      </w:r>
      <w:r w:rsidRPr="009B3EC8">
        <w:rPr>
          <w:rFonts w:ascii="Palatino Linotype" w:hAnsi="Palatino Linotype"/>
          <w:color w:val="000000"/>
          <w:kern w:val="0"/>
          <w:szCs w:val="24"/>
          <w:lang w:val="id-ID" w:eastAsia="en-US"/>
        </w:rPr>
        <w:t xml:space="preserve">yang digunakan untuk melayani nasabah, kemudian bank syariah bisa melakukan mitigasi risiko yang tepat dalam menghadapi krisis ekonomi pada saat pandemi ini agar cashflow bank terlihat, kemudian bank harus fokus industri perusahaan seperti apa yang akan dibiayai oleh bank (saling menguntungkan atau malah merugikan), kemudian bank syariah dapat melakukan inovasi serta kreativitas bank dimana bank syariah tidak hanya mementingkan pembayaran angsuran, namun bank syariah tetap memperhatikan nasabahnya. Dan bank syariah dapat tetap membantu usaha UMKM dengan memberikan pendampingan serta melakukan konsultasi bersama guna memperbaharui UMKM yang terjangkit COVID-19, yang terakhir bank syariah dapat melakukan pelatihan- pelatihan secara online guna pembelajaran dan menambah wawasan akan bank syariah itu sendiri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{"citationItems":[{"id":"ITEM-1","itemData":{"abstract":"Virus Covid-19 sudah bertebaran di penjuru dunia bahkan telah menyebar ke Negara tercinta kita Indonesia, organsisasi WHO (World Health Organization) sendiri telah menyampaikan adanya kejadian ini sebagai sebuah pandemi. Dampak yang ditimbulkan …","author":[{"dropping-particle":"","family":"A'yun","given":"Q A N","non-dropping-particle":"","parse-names":false,"suffix":""},{"dropping-particle":"","family":"Latifah","given":"F N","non-dropping-particle":"","parse-names":false,"suffix":""}],"container-title":"… : Jurnal Ekonomi dan Perbankan Syariah","id":"ITEM-1","issue":"1","issued":{"date-parts":[["2021"]]},"page":"237-250","title":"Strategi Pemasaran Perbankan Syariah Menghadapi Pandemi Covid-19","type":"article-journal","volume":"6"},"uris":["http://www.mendeley.com/documents/?uuid=875c53be-7311-43d4-9c34-ccc21b48ad72"]}],"mendeley":{"formattedCitation":"(A’yun &amp; Latifah, 2021)","plainTextFormattedCitation":"(A’yun &amp; Latifah, 2021)","previouslyFormattedCitation":"(A’yun &amp; Latifah,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(A’yun &amp; Latifah,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 xml:space="preserve">. </w:t>
      </w:r>
    </w:p>
    <w:p w:rsidR="009B3EC8"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Selanjutnya pada penelitian yang dilakukann oleh Trimulato dkk startegi bisnis yang dapat dillakukan oleh industri perbankan syariah dimasa pandemi Covid-19 adalah dengan cara meningkatkan layanan dengan penerapan protokol kesehatan bagi setiap yang berada di kantor, menjaga jarak dan selalu menggunakan masker. </w:t>
      </w:r>
      <w:r w:rsidRPr="009B3EC8">
        <w:rPr>
          <w:rFonts w:ascii="Palatino Linotype" w:hAnsi="Palatino Linotype"/>
          <w:color w:val="000000"/>
          <w:kern w:val="0"/>
          <w:szCs w:val="24"/>
          <w:lang w:eastAsia="en-US"/>
        </w:rPr>
        <w:t xml:space="preserve">Peningkatan layanan berbasis digital di masa pandemi agar nasabah dapat memenuhi transaksi perbankannya. Fasiltas ATM, Mobile Banking, dan Cash Management System dalam memnuhi transaksi nasabah di masa pandemi. Untuk pembiayaan dilakukan recovery pembiayaan khususnya bagi nasabah yang terkena dampak covid-19. Penawaran dan penetrasi untuk pembiayaan yang baru dengan proses selektif untuk mendapatkan </w:t>
      </w:r>
      <w:r w:rsidRPr="009B3EC8">
        <w:rPr>
          <w:rFonts w:ascii="Palatino Linotype" w:hAnsi="Palatino Linotype"/>
          <w:color w:val="000000"/>
          <w:kern w:val="0"/>
          <w:szCs w:val="24"/>
          <w:lang w:eastAsia="en-US"/>
        </w:rPr>
        <w:lastRenderedPageBreak/>
        <w:t>pembiayaan yang berkualitas baik. Serta tetap mengikuti peraturan yang berlaku termasuk peraturan Otoritas Jasa Keuangan</w:t>
      </w:r>
      <w:r w:rsidRPr="009B3EC8">
        <w:rPr>
          <w:rFonts w:ascii="Palatino Linotype" w:hAnsi="Palatino Linotype"/>
          <w:color w:val="000000"/>
          <w:kern w:val="0"/>
          <w:szCs w:val="24"/>
          <w:lang w:val="id-ID" w:eastAsia="en-US"/>
        </w:rPr>
        <w:t xml:space="preserve"> </w:t>
      </w:r>
      <w:r w:rsidRPr="009B3EC8">
        <w:rPr>
          <w:rFonts w:ascii="Palatino Linotype" w:hAnsi="Palatino Linotype"/>
          <w:color w:val="000000"/>
          <w:kern w:val="0"/>
          <w:szCs w:val="24"/>
          <w:lang w:val="id-ID" w:eastAsia="en-US"/>
        </w:rPr>
        <w:fldChar w:fldCharType="begin" w:fldLock="1"/>
      </w:r>
      <w:r w:rsidRPr="009B3EC8">
        <w:rPr>
          <w:rFonts w:ascii="Palatino Linotype" w:hAnsi="Palatino Linotype"/>
          <w:color w:val="000000"/>
          <w:kern w:val="0"/>
          <w:szCs w:val="24"/>
          <w:lang w:val="id-ID" w:eastAsia="en-US"/>
        </w:rPr>
        <w:instrText>ADDIN CSL_CITATION {"citationItems":[{"id":"ITEM-1","itemData":{"ISSN":"2579-6534","abstract":"The purpose of this study was to determine the development of PT Bank Panin Dubai Syariah during the covid-19 pandemic. And to find out the business strategy implemented by PT Bank Panin Dubai Syariah Makassar Branch during the covid-19 pandemic. The research method used in this research is qualitative by describing the development and business strategy of Panin Dubai Syariah Bank Makassar Branch. This type of research is a field study, primary data collection. Sources of data were obtained directly with interview data collection techniques and documentation from various sources. The data analysis technique used is descriptive qualitative, which describes the development of PT Bank Panin Dubai Syariah during the pandemic. As well as the Business Strategy carried out by PT Bank Panin Dubai Syariah Makassar branch. The results of the research on the growth of PT Bank Panin Dubai Syariah in the period May 2020 to May 2021 experienced an increase in assets of 7.6 percent, and for murabahah financing, it decreased by-44 percent. Current accounts grew by 11 percent, savings grew by 27 percent, and time deposits decreased by-7.9 percent. The business strategy implemented by PT Bank Panin Dubai Syariah during the Covid-19 pandemic was to improve office services by implementing health protocols, increasing digital-based services, increasing ATM, Mobile Banking, and Cash Management System facilities to fulfill customer transactions. For financing recovery for financing affected by COVID-19 so that they can recover, as well as continuing to carry out product offerings and penetration to attract new financing.","author":[{"dropping-particle":"","family":"Trimulato","given":"","non-dropping-particle":"","parse-names":false,"suffix":""},{"dropping-particle":"","family":"Supriadi","given":"","non-dropping-particle":"","parse-names":false,"suffix":""},{"dropping-particle":"","family":"Mustamin","given":"","non-dropping-particle":"","parse-names":false,"suffix":""},{"dropping-particle":"","family":"Umar","given":"St. Hafsah","non-dropping-particle":"","parse-names":false,"suffix":""},{"dropping-particle":"","family":"Ningsih","given":"dan Surya","non-dropping-particle":"","parse-names":false,"suffix":""}],"container-title":"Jurnal Ilmiah Ekonomi Islam","id":"ITEM-1","issue":"03","issued":{"date-parts":[["2021"]]},"page":"1293-1305","title":"Strategi Bisnis Bank Syariah di Masa Pandemi Covid-19 Pada PT. Bank Panin Dubai Syariah Cabang Makassar","type":"article-journal","volume":"7"},"uris":["http://www.mendeley.com/documents/?uuid=b9afdd82-8fa9-4c2e-b795-19a1b512fb74"]}],"mendeley":{"formattedCitation":"(Trimulato et al., 2021)","plainTextFormattedCitation":"(Trimulato et al., 2021)","previouslyFormattedCitation":"(Trimulato et al., 2021)"},"properties":{"noteIndex":0},"schema":"https://github.com/citation-style-language/schema/raw/master/csl-citation.json"}</w:instrText>
      </w:r>
      <w:r w:rsidRPr="009B3EC8">
        <w:rPr>
          <w:rFonts w:ascii="Palatino Linotype" w:hAnsi="Palatino Linotype"/>
          <w:color w:val="000000"/>
          <w:kern w:val="0"/>
          <w:szCs w:val="24"/>
          <w:lang w:val="id-ID" w:eastAsia="en-US"/>
        </w:rPr>
        <w:fldChar w:fldCharType="separate"/>
      </w:r>
      <w:r w:rsidRPr="009B3EC8">
        <w:rPr>
          <w:rFonts w:ascii="Palatino Linotype" w:hAnsi="Palatino Linotype"/>
          <w:noProof/>
          <w:color w:val="000000"/>
          <w:kern w:val="0"/>
          <w:szCs w:val="24"/>
          <w:lang w:val="id-ID" w:eastAsia="en-US"/>
        </w:rPr>
        <w:t>(Trimulato et al., 2021)</w:t>
      </w:r>
      <w:r w:rsidRPr="009B3EC8">
        <w:rPr>
          <w:rFonts w:ascii="Palatino Linotype" w:hAnsi="Palatino Linotype"/>
          <w:color w:val="000000"/>
          <w:kern w:val="0"/>
          <w:szCs w:val="24"/>
          <w:lang w:val="id-ID" w:eastAsia="en-US"/>
        </w:rPr>
        <w:fldChar w:fldCharType="end"/>
      </w:r>
      <w:r w:rsidRPr="009B3EC8">
        <w:rPr>
          <w:rFonts w:ascii="Palatino Linotype" w:hAnsi="Palatino Linotype"/>
          <w:color w:val="000000"/>
          <w:kern w:val="0"/>
          <w:szCs w:val="24"/>
          <w:lang w:val="id-ID" w:eastAsia="en-US"/>
        </w:rPr>
        <w:t>.</w:t>
      </w:r>
    </w:p>
    <w:p w:rsidR="009B3EC8" w:rsidRPr="009B3EC8" w:rsidRDefault="009B3EC8" w:rsidP="00674D0C">
      <w:pPr>
        <w:spacing w:after="120"/>
        <w:jc w:val="both"/>
        <w:rPr>
          <w:rFonts w:ascii="Palatino Linotype" w:hAnsi="Palatino Linotype"/>
          <w:b/>
          <w:szCs w:val="24"/>
          <w:lang w:val="id-ID"/>
        </w:rPr>
      </w:pPr>
    </w:p>
    <w:p w:rsidR="00905307" w:rsidRPr="00E215D6" w:rsidRDefault="00905307" w:rsidP="00905307">
      <w:pPr>
        <w:spacing w:after="120"/>
        <w:jc w:val="both"/>
        <w:rPr>
          <w:rFonts w:ascii="Palatino Linotype" w:hAnsi="Palatino Linotype"/>
          <w:b/>
          <w:sz w:val="26"/>
          <w:szCs w:val="26"/>
          <w:lang w:val="id-ID"/>
        </w:rPr>
      </w:pPr>
      <w:r w:rsidRPr="00E215D6">
        <w:rPr>
          <w:rFonts w:ascii="Palatino Linotype" w:hAnsi="Palatino Linotype"/>
          <w:b/>
          <w:sz w:val="26"/>
          <w:szCs w:val="26"/>
          <w:lang w:val="id-ID"/>
        </w:rPr>
        <w:t>SIMPULAN</w:t>
      </w:r>
    </w:p>
    <w:p w:rsidR="00AF4735" w:rsidRPr="009B3EC8" w:rsidRDefault="009B3EC8" w:rsidP="009B3EC8">
      <w:pPr>
        <w:widowControl/>
        <w:spacing w:after="120"/>
        <w:ind w:firstLineChars="300" w:firstLine="720"/>
        <w:jc w:val="both"/>
        <w:rPr>
          <w:rFonts w:ascii="Palatino Linotype" w:hAnsi="Palatino Linotype"/>
          <w:color w:val="000000"/>
          <w:kern w:val="0"/>
          <w:szCs w:val="24"/>
          <w:lang w:val="id-ID" w:eastAsia="en-US"/>
        </w:rPr>
      </w:pPr>
      <w:r w:rsidRPr="009B3EC8">
        <w:rPr>
          <w:rFonts w:ascii="Palatino Linotype" w:hAnsi="Palatino Linotype"/>
          <w:color w:val="000000"/>
          <w:kern w:val="0"/>
          <w:szCs w:val="24"/>
          <w:lang w:val="id-ID" w:eastAsia="en-US"/>
        </w:rPr>
        <w:t xml:space="preserve">Berdasarkan hasil penelitian dan pembahasan maka dapat disimpulkan bahwa industri keunagan syariah di masa Pandemi Covid-19 tumbuh positif sebesar 13,82% (yoy) menjadi Rp. 2.050,44 triliun meningkat dari tahun sebelumnya sebesar Rp. 1.801, 40 triliun. Pasar Modal Syariah yang memiliki porsi terbesar aset keuangan syariah </w:t>
      </w:r>
      <w:r w:rsidRPr="009B3EC8">
        <w:rPr>
          <w:rFonts w:ascii="Palatino Linotype" w:hAnsi="Palatino Linotype"/>
          <w:color w:val="000000"/>
          <w:kern w:val="0"/>
          <w:szCs w:val="24"/>
          <w:lang w:eastAsia="en-US"/>
        </w:rPr>
        <w:t>(60,27%) mengalami pertumbuhan tertinggi di antara sektor lainnya dengan laju 14,83% (yoy). Perbankan Syariah dengan pangsa pasar 33,83% dari keuangan syariah tumbuh sebesar 13,94% (yoy). Sementara itu, IKNB Syariah yang memiliki porsi sebesar 5,90% dari total aset keuangan syariah juga mengalami pertumbuhan sebesar 3,90% (yoy)</w:t>
      </w:r>
      <w:r w:rsidR="001B6D01" w:rsidRPr="009B3EC8">
        <w:rPr>
          <w:rFonts w:ascii="Palatino Linotype" w:hAnsi="Palatino Linotype"/>
          <w:szCs w:val="24"/>
          <w:lang w:val="id-ID"/>
        </w:rPr>
        <w:t>.</w:t>
      </w:r>
    </w:p>
    <w:p w:rsidR="00B36CFF" w:rsidRPr="00E215D6" w:rsidRDefault="00B36CFF" w:rsidP="00B36CFF">
      <w:pPr>
        <w:spacing w:after="120"/>
        <w:jc w:val="both"/>
        <w:rPr>
          <w:rFonts w:ascii="Palatino Linotype" w:hAnsi="Palatino Linotype"/>
          <w:b/>
          <w:sz w:val="26"/>
          <w:szCs w:val="26"/>
          <w:lang w:val="id-ID"/>
        </w:rPr>
      </w:pPr>
      <w:r w:rsidRPr="00E215D6">
        <w:rPr>
          <w:rFonts w:ascii="Palatino Linotype" w:hAnsi="Palatino Linotype"/>
          <w:b/>
          <w:sz w:val="26"/>
          <w:szCs w:val="26"/>
        </w:rPr>
        <w:t xml:space="preserve">DAFTAR </w:t>
      </w:r>
      <w:r w:rsidR="000077EB" w:rsidRPr="00E215D6">
        <w:rPr>
          <w:rFonts w:ascii="Palatino Linotype" w:hAnsi="Palatino Linotype"/>
          <w:b/>
          <w:sz w:val="26"/>
          <w:szCs w:val="26"/>
          <w:lang w:val="id-ID"/>
        </w:rPr>
        <w:t>RUJUKAN</w:t>
      </w:r>
    </w:p>
    <w:p w:rsidR="00B02A30" w:rsidRPr="00B02A30" w:rsidRDefault="00B02A30" w:rsidP="00B02A30">
      <w:pPr>
        <w:autoSpaceDE w:val="0"/>
        <w:autoSpaceDN w:val="0"/>
        <w:adjustRightInd w:val="0"/>
        <w:ind w:left="480" w:hanging="480"/>
        <w:rPr>
          <w:rFonts w:ascii="Palatino Linotype" w:hAnsi="Palatino Linotype"/>
          <w:noProof/>
          <w:szCs w:val="24"/>
        </w:rPr>
      </w:pPr>
      <w:r>
        <w:rPr>
          <w:rFonts w:ascii="Palatino Linotype" w:hAnsi="Palatino Linotype" w:cs="Arial"/>
          <w:color w:val="222222"/>
          <w:szCs w:val="24"/>
          <w:shd w:val="clear" w:color="auto" w:fill="FFFFFF"/>
          <w:lang w:val="id-ID"/>
        </w:rPr>
        <w:fldChar w:fldCharType="begin" w:fldLock="1"/>
      </w:r>
      <w:r>
        <w:rPr>
          <w:rFonts w:ascii="Palatino Linotype" w:hAnsi="Palatino Linotype" w:cs="Arial"/>
          <w:color w:val="222222"/>
          <w:szCs w:val="24"/>
          <w:shd w:val="clear" w:color="auto" w:fill="FFFFFF"/>
          <w:lang w:val="id-ID"/>
        </w:rPr>
        <w:instrText xml:space="preserve">ADDIN Mendeley Bibliography CSL_BIBLIOGRAPHY </w:instrText>
      </w:r>
      <w:r>
        <w:rPr>
          <w:rFonts w:ascii="Palatino Linotype" w:hAnsi="Palatino Linotype" w:cs="Arial"/>
          <w:color w:val="222222"/>
          <w:szCs w:val="24"/>
          <w:shd w:val="clear" w:color="auto" w:fill="FFFFFF"/>
          <w:lang w:val="id-ID"/>
        </w:rPr>
        <w:fldChar w:fldCharType="separate"/>
      </w:r>
      <w:r w:rsidRPr="00B02A30">
        <w:rPr>
          <w:rFonts w:ascii="Palatino Linotype" w:hAnsi="Palatino Linotype"/>
          <w:noProof/>
          <w:szCs w:val="24"/>
        </w:rPr>
        <w:t xml:space="preserve">A’yun, Q. A. N., &amp; Latifah, F. N. (2021). Strategi Pemasaran Perbankan Syariah Menghadapi Pandemi Covid-19. </w:t>
      </w:r>
      <w:r w:rsidRPr="00B02A30">
        <w:rPr>
          <w:rFonts w:ascii="Palatino Linotype" w:hAnsi="Palatino Linotype"/>
          <w:i/>
          <w:iCs/>
          <w:noProof/>
          <w:szCs w:val="24"/>
        </w:rPr>
        <w:t>…</w:t>
      </w:r>
      <w:r w:rsidRPr="00B02A30">
        <w:rPr>
          <w:rFonts w:ascii="Arial" w:hAnsi="Arial" w:cs="Arial"/>
          <w:i/>
          <w:iCs/>
          <w:noProof/>
          <w:szCs w:val="24"/>
        </w:rPr>
        <w:t> </w:t>
      </w:r>
      <w:r w:rsidRPr="00B02A30">
        <w:rPr>
          <w:rFonts w:ascii="Palatino Linotype" w:hAnsi="Palatino Linotype"/>
          <w:i/>
          <w:iCs/>
          <w:noProof/>
          <w:szCs w:val="24"/>
        </w:rPr>
        <w:t>: Jurnal Ekonomi Dan Perbankan Syariah</w:t>
      </w:r>
      <w:r w:rsidRPr="00B02A30">
        <w:rPr>
          <w:rFonts w:ascii="Palatino Linotype" w:hAnsi="Palatino Linotype"/>
          <w:noProof/>
          <w:szCs w:val="24"/>
        </w:rPr>
        <w:t xml:space="preserve">, </w:t>
      </w:r>
      <w:r w:rsidRPr="00B02A30">
        <w:rPr>
          <w:rFonts w:ascii="Palatino Linotype" w:hAnsi="Palatino Linotype"/>
          <w:i/>
          <w:iCs/>
          <w:noProof/>
          <w:szCs w:val="24"/>
        </w:rPr>
        <w:t>6</w:t>
      </w:r>
      <w:r w:rsidRPr="00B02A30">
        <w:rPr>
          <w:rFonts w:ascii="Palatino Linotype" w:hAnsi="Palatino Linotype"/>
          <w:noProof/>
          <w:szCs w:val="24"/>
        </w:rPr>
        <w:t>(1), 237–250. http://103.114.35.30/index.php/Mas/article/view/5167</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Amalia, R. J., &amp; Adinugraha, H. H. (2021). Restrukturisasi Pembiayaan Pada Bank Syariah Di Masa Pandemi Covid-19 Perspektif Hukum Perikatan Islam. </w:t>
      </w:r>
      <w:r w:rsidRPr="00B02A30">
        <w:rPr>
          <w:rFonts w:ascii="Palatino Linotype" w:hAnsi="Palatino Linotype"/>
          <w:i/>
          <w:iCs/>
          <w:noProof/>
          <w:szCs w:val="24"/>
        </w:rPr>
        <w:t>Kunuz: Journal of Islamic Banking and Finance</w:t>
      </w:r>
      <w:r w:rsidRPr="00B02A30">
        <w:rPr>
          <w:rFonts w:ascii="Palatino Linotype" w:hAnsi="Palatino Linotype"/>
          <w:noProof/>
          <w:szCs w:val="24"/>
        </w:rPr>
        <w:t xml:space="preserve">, </w:t>
      </w:r>
      <w:r w:rsidRPr="00B02A30">
        <w:rPr>
          <w:rFonts w:ascii="Palatino Linotype" w:hAnsi="Palatino Linotype"/>
          <w:i/>
          <w:iCs/>
          <w:noProof/>
          <w:szCs w:val="24"/>
        </w:rPr>
        <w:t>1</w:t>
      </w:r>
      <w:r w:rsidRPr="00B02A30">
        <w:rPr>
          <w:rFonts w:ascii="Palatino Linotype" w:hAnsi="Palatino Linotype"/>
          <w:noProof/>
          <w:szCs w:val="24"/>
        </w:rPr>
        <w:t>(2), 107–109. https://doi.org/10.30984/kunuz.v1i2.50</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Andika, &amp; Aldi. (2020). </w:t>
      </w:r>
      <w:r w:rsidRPr="00B02A30">
        <w:rPr>
          <w:rFonts w:ascii="Palatino Linotype" w:hAnsi="Palatino Linotype"/>
          <w:i/>
          <w:iCs/>
          <w:noProof/>
          <w:szCs w:val="24"/>
        </w:rPr>
        <w:t>Kesiapan Perbankan Syariah dalam Menghadapi Resesi</w:t>
      </w:r>
      <w:r w:rsidRPr="00B02A30">
        <w:rPr>
          <w:rFonts w:ascii="Palatino Linotype" w:hAnsi="Palatino Linotype"/>
          <w:noProof/>
          <w:szCs w:val="24"/>
        </w:rPr>
        <w:t>. Https://Knks.Go.Id/Berita/325/Kesiapan-Perbankan-Syariah-Dalam-Menghadapi.</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Dela, Y., &amp; Anggraini, T. (2021). Restrukturasi Pembiayaan di Masa Pandemi Covid-19 pada PT. Bank Sumut KCP Syariah Kisaran. </w:t>
      </w:r>
      <w:r w:rsidRPr="00B02A30">
        <w:rPr>
          <w:rFonts w:ascii="Palatino Linotype" w:hAnsi="Palatino Linotype"/>
          <w:i/>
          <w:iCs/>
          <w:noProof/>
          <w:szCs w:val="24"/>
        </w:rPr>
        <w:t>Jurnal Riset Akuntansi Mercu Buana</w:t>
      </w:r>
      <w:r w:rsidRPr="00B02A30">
        <w:rPr>
          <w:rFonts w:ascii="Palatino Linotype" w:hAnsi="Palatino Linotype"/>
          <w:noProof/>
          <w:szCs w:val="24"/>
        </w:rPr>
        <w:t>.</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Hasan, I. (2008). </w:t>
      </w:r>
      <w:r w:rsidRPr="00B02A30">
        <w:rPr>
          <w:rFonts w:ascii="Palatino Linotype" w:hAnsi="Palatino Linotype"/>
          <w:i/>
          <w:iCs/>
          <w:noProof/>
          <w:szCs w:val="24"/>
        </w:rPr>
        <w:t>Analisis Data Penelitian dengan Statistik</w:t>
      </w:r>
      <w:r w:rsidRPr="00B02A30">
        <w:rPr>
          <w:rFonts w:ascii="Palatino Linotype" w:hAnsi="Palatino Linotype"/>
          <w:noProof/>
          <w:szCs w:val="24"/>
        </w:rPr>
        <w:t>. Bumi Aksara.</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Ilhami, &amp; Thamrin, H. (2021). Analisis Dampak Covid 19 Terhadap Kinerja Keuangan Perbankan Syariah Di Indonesia. </w:t>
      </w:r>
      <w:r w:rsidRPr="00B02A30">
        <w:rPr>
          <w:rFonts w:ascii="Palatino Linotype" w:hAnsi="Palatino Linotype"/>
          <w:i/>
          <w:iCs/>
          <w:noProof/>
          <w:szCs w:val="24"/>
        </w:rPr>
        <w:t>Jurnal Tabarru’: Islamic Banking and Finance</w:t>
      </w:r>
      <w:r w:rsidRPr="00B02A30">
        <w:rPr>
          <w:rFonts w:ascii="Palatino Linotype" w:hAnsi="Palatino Linotype"/>
          <w:noProof/>
          <w:szCs w:val="24"/>
        </w:rPr>
        <w:t xml:space="preserve">, </w:t>
      </w:r>
      <w:r w:rsidRPr="00B02A30">
        <w:rPr>
          <w:rFonts w:ascii="Palatino Linotype" w:hAnsi="Palatino Linotype"/>
          <w:i/>
          <w:iCs/>
          <w:noProof/>
          <w:szCs w:val="24"/>
        </w:rPr>
        <w:t>4</w:t>
      </w:r>
      <w:r w:rsidRPr="00B02A30">
        <w:rPr>
          <w:rFonts w:ascii="Palatino Linotype" w:hAnsi="Palatino Linotype"/>
          <w:noProof/>
          <w:szCs w:val="24"/>
        </w:rPr>
        <w:t>(1), 37–45. https://doi.org/10.25299/jtb.2021.vol4(1).6068</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Moleong, L. J. (2017). </w:t>
      </w:r>
      <w:r w:rsidRPr="00B02A30">
        <w:rPr>
          <w:rFonts w:ascii="Palatino Linotype" w:hAnsi="Palatino Linotype"/>
          <w:i/>
          <w:iCs/>
          <w:noProof/>
          <w:szCs w:val="24"/>
        </w:rPr>
        <w:t>Metode Penelitian Kualitatif (Edisi Revisi)</w:t>
      </w:r>
      <w:r w:rsidRPr="00B02A30">
        <w:rPr>
          <w:rFonts w:ascii="Palatino Linotype" w:hAnsi="Palatino Linotype"/>
          <w:noProof/>
          <w:szCs w:val="24"/>
        </w:rPr>
        <w:t xml:space="preserve">. Remaja </w:t>
      </w:r>
      <w:r w:rsidRPr="00B02A30">
        <w:rPr>
          <w:rFonts w:ascii="Palatino Linotype" w:hAnsi="Palatino Linotype"/>
          <w:noProof/>
          <w:szCs w:val="24"/>
        </w:rPr>
        <w:lastRenderedPageBreak/>
        <w:t>Rosda Karya.</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Nofinawati, N. (2016). Perkembangan Perbankan Syariah Di Indonesia. </w:t>
      </w:r>
      <w:r w:rsidRPr="00B02A30">
        <w:rPr>
          <w:rFonts w:ascii="Palatino Linotype" w:hAnsi="Palatino Linotype"/>
          <w:i/>
          <w:iCs/>
          <w:noProof/>
          <w:szCs w:val="24"/>
        </w:rPr>
        <w:t>JURIS (Jurnal Ilmiah Syariah)</w:t>
      </w:r>
      <w:r w:rsidRPr="00B02A30">
        <w:rPr>
          <w:rFonts w:ascii="Palatino Linotype" w:hAnsi="Palatino Linotype"/>
          <w:noProof/>
          <w:szCs w:val="24"/>
        </w:rPr>
        <w:t xml:space="preserve">, </w:t>
      </w:r>
      <w:r w:rsidRPr="00B02A30">
        <w:rPr>
          <w:rFonts w:ascii="Palatino Linotype" w:hAnsi="Palatino Linotype"/>
          <w:i/>
          <w:iCs/>
          <w:noProof/>
          <w:szCs w:val="24"/>
        </w:rPr>
        <w:t>14</w:t>
      </w:r>
      <w:r w:rsidRPr="00B02A30">
        <w:rPr>
          <w:rFonts w:ascii="Palatino Linotype" w:hAnsi="Palatino Linotype"/>
          <w:noProof/>
          <w:szCs w:val="24"/>
        </w:rPr>
        <w:t>(2), 168. https://doi.org/10.31958/juris.v14i2.305</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Otoritas Jasa Keuangan. (2021). </w:t>
      </w:r>
      <w:r w:rsidRPr="00B02A30">
        <w:rPr>
          <w:rFonts w:ascii="Palatino Linotype" w:hAnsi="Palatino Linotype"/>
          <w:i/>
          <w:iCs/>
          <w:noProof/>
          <w:szCs w:val="24"/>
        </w:rPr>
        <w:t>Laporan Perkembangan Keuangan Syariah Indonesia (LPKSI) 2020</w:t>
      </w:r>
      <w:r w:rsidRPr="00B02A30">
        <w:rPr>
          <w:rFonts w:ascii="Palatino Linotype" w:hAnsi="Palatino Linotype"/>
          <w:noProof/>
          <w:szCs w:val="24"/>
        </w:rPr>
        <w:t>. Https://Www.Ojk.Go.Id/Id/Berita-Dan-Kegiatan/Info-Terkini/Pages/Laporan-Perkembangan-Keuangan-Syariah-Indonesia-(LPKSI)-2020-.Aspx.</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Otoritas Jasa Keuangan. (2022). </w:t>
      </w:r>
      <w:r w:rsidRPr="00B02A30">
        <w:rPr>
          <w:rFonts w:ascii="Palatino Linotype" w:hAnsi="Palatino Linotype"/>
          <w:i/>
          <w:iCs/>
          <w:noProof/>
          <w:szCs w:val="24"/>
        </w:rPr>
        <w:t>Statistik Perbankan Syariah Maret 2022</w:t>
      </w:r>
      <w:r w:rsidRPr="00B02A30">
        <w:rPr>
          <w:rFonts w:ascii="Palatino Linotype" w:hAnsi="Palatino Linotype"/>
          <w:noProof/>
          <w:szCs w:val="24"/>
        </w:rPr>
        <w:t>.</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Pratiwi, D. A. (2020). Peran Lembaga Keuangan Syariah dalam Menghadapi Pandemi Covid-19. </w:t>
      </w:r>
      <w:r w:rsidRPr="00B02A30">
        <w:rPr>
          <w:rFonts w:ascii="Palatino Linotype" w:hAnsi="Palatino Linotype"/>
          <w:i/>
          <w:iCs/>
          <w:noProof/>
          <w:szCs w:val="24"/>
        </w:rPr>
        <w:t>Asas: Jurnal Hukum Ekonomi Syari’ah</w:t>
      </w:r>
      <w:r w:rsidRPr="00B02A30">
        <w:rPr>
          <w:rFonts w:ascii="Palatino Linotype" w:hAnsi="Palatino Linotype"/>
          <w:noProof/>
          <w:szCs w:val="24"/>
        </w:rPr>
        <w:t xml:space="preserve">, </w:t>
      </w:r>
      <w:r w:rsidRPr="00B02A30">
        <w:rPr>
          <w:rFonts w:ascii="Palatino Linotype" w:hAnsi="Palatino Linotype"/>
          <w:i/>
          <w:iCs/>
          <w:noProof/>
          <w:szCs w:val="24"/>
        </w:rPr>
        <w:t>19</w:t>
      </w:r>
      <w:r w:rsidRPr="00B02A30">
        <w:rPr>
          <w:rFonts w:ascii="Palatino Linotype" w:hAnsi="Palatino Linotype"/>
          <w:noProof/>
          <w:szCs w:val="24"/>
        </w:rPr>
        <w:t>(3), 10.</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Rama, A. (2015). Analisis Deskriptif Perkembangan Perbankan Syariah di Asia Tenggara. </w:t>
      </w:r>
      <w:r w:rsidRPr="00B02A30">
        <w:rPr>
          <w:rFonts w:ascii="Palatino Linotype" w:hAnsi="Palatino Linotype"/>
          <w:i/>
          <w:iCs/>
          <w:noProof/>
          <w:szCs w:val="24"/>
        </w:rPr>
        <w:t>Journal of Tauhidinomics</w:t>
      </w:r>
      <w:r w:rsidRPr="00B02A30">
        <w:rPr>
          <w:rFonts w:ascii="Palatino Linotype" w:hAnsi="Palatino Linotype"/>
          <w:noProof/>
          <w:szCs w:val="24"/>
        </w:rPr>
        <w:t xml:space="preserve">, </w:t>
      </w:r>
      <w:r w:rsidRPr="00B02A30">
        <w:rPr>
          <w:rFonts w:ascii="Palatino Linotype" w:hAnsi="Palatino Linotype"/>
          <w:i/>
          <w:iCs/>
          <w:noProof/>
          <w:szCs w:val="24"/>
        </w:rPr>
        <w:t>1</w:t>
      </w:r>
      <w:r w:rsidRPr="00B02A30">
        <w:rPr>
          <w:rFonts w:ascii="Palatino Linotype" w:hAnsi="Palatino Linotype"/>
          <w:noProof/>
          <w:szCs w:val="24"/>
        </w:rPr>
        <w:t>(1), 1–25.</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Setiawati, N. U. (2021). Kebijakan Restrukturisasi Pembiayaan Murabahah Bermasalah pada Nasabah UMKM Akibat Pandemi Coronavirus Dusease 2019 (Covid-19). </w:t>
      </w:r>
      <w:r w:rsidRPr="00B02A30">
        <w:rPr>
          <w:rFonts w:ascii="Palatino Linotype" w:hAnsi="Palatino Linotype"/>
          <w:i/>
          <w:iCs/>
          <w:noProof/>
          <w:szCs w:val="24"/>
        </w:rPr>
        <w:t>Notaire</w:t>
      </w:r>
      <w:r w:rsidRPr="00B02A30">
        <w:rPr>
          <w:rFonts w:ascii="Palatino Linotype" w:hAnsi="Palatino Linotype"/>
          <w:noProof/>
          <w:szCs w:val="24"/>
        </w:rPr>
        <w:t xml:space="preserve">, </w:t>
      </w:r>
      <w:r w:rsidRPr="00B02A30">
        <w:rPr>
          <w:rFonts w:ascii="Palatino Linotype" w:hAnsi="Palatino Linotype"/>
          <w:i/>
          <w:iCs/>
          <w:noProof/>
          <w:szCs w:val="24"/>
        </w:rPr>
        <w:t>4</w:t>
      </w:r>
      <w:r w:rsidRPr="00B02A30">
        <w:rPr>
          <w:rFonts w:ascii="Palatino Linotype" w:hAnsi="Palatino Linotype"/>
          <w:noProof/>
          <w:szCs w:val="24"/>
        </w:rPr>
        <w:t>(2). https://doi.org/https://doi.org/10.20473/ntr.v4i2.26122</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Tahliani, H. (2020). Tantanganperbankan Syariah Dalam Menghadapi Pandemi Covid-19. </w:t>
      </w:r>
      <w:r w:rsidRPr="00B02A30">
        <w:rPr>
          <w:rFonts w:ascii="Palatino Linotype" w:hAnsi="Palatino Linotype"/>
          <w:i/>
          <w:iCs/>
          <w:noProof/>
          <w:szCs w:val="24"/>
        </w:rPr>
        <w:t>Madani Syariah</w:t>
      </w:r>
      <w:r w:rsidRPr="00B02A30">
        <w:rPr>
          <w:rFonts w:ascii="Palatino Linotype" w:hAnsi="Palatino Linotype"/>
          <w:noProof/>
          <w:szCs w:val="24"/>
        </w:rPr>
        <w:t xml:space="preserve">, </w:t>
      </w:r>
      <w:r w:rsidRPr="00B02A30">
        <w:rPr>
          <w:rFonts w:ascii="Palatino Linotype" w:hAnsi="Palatino Linotype"/>
          <w:i/>
          <w:iCs/>
          <w:noProof/>
          <w:szCs w:val="24"/>
        </w:rPr>
        <w:t>3</w:t>
      </w:r>
      <w:r w:rsidRPr="00B02A30">
        <w:rPr>
          <w:rFonts w:ascii="Palatino Linotype" w:hAnsi="Palatino Linotype"/>
          <w:noProof/>
          <w:szCs w:val="24"/>
        </w:rPr>
        <w:t>(2), 92–113. file:///D:/zinggris literatur/TANTANGAN PERBANKAN SYARIAH.pdf</w:t>
      </w:r>
    </w:p>
    <w:p w:rsidR="00B02A30" w:rsidRPr="00B02A30" w:rsidRDefault="00B02A30" w:rsidP="00B02A30">
      <w:pPr>
        <w:autoSpaceDE w:val="0"/>
        <w:autoSpaceDN w:val="0"/>
        <w:adjustRightInd w:val="0"/>
        <w:ind w:left="480" w:hanging="480"/>
        <w:rPr>
          <w:rFonts w:ascii="Palatino Linotype" w:hAnsi="Palatino Linotype"/>
          <w:noProof/>
          <w:szCs w:val="24"/>
        </w:rPr>
      </w:pPr>
      <w:r w:rsidRPr="00B02A30">
        <w:rPr>
          <w:rFonts w:ascii="Palatino Linotype" w:hAnsi="Palatino Linotype"/>
          <w:noProof/>
          <w:szCs w:val="24"/>
        </w:rPr>
        <w:t xml:space="preserve">Tim Penyusun. (2007). </w:t>
      </w:r>
      <w:r w:rsidRPr="00B02A30">
        <w:rPr>
          <w:rFonts w:ascii="Palatino Linotype" w:hAnsi="Palatino Linotype"/>
          <w:i/>
          <w:iCs/>
          <w:noProof/>
          <w:szCs w:val="24"/>
        </w:rPr>
        <w:t>Kamus Besar Bahasa Indonesia</w:t>
      </w:r>
      <w:r w:rsidRPr="00B02A30">
        <w:rPr>
          <w:rFonts w:ascii="Palatino Linotype" w:hAnsi="Palatino Linotype"/>
          <w:noProof/>
          <w:szCs w:val="24"/>
        </w:rPr>
        <w:t>. Balai Pustaka.</w:t>
      </w:r>
    </w:p>
    <w:p w:rsidR="00B02A30" w:rsidRPr="00B02A30" w:rsidRDefault="00B02A30" w:rsidP="00B02A30">
      <w:pPr>
        <w:autoSpaceDE w:val="0"/>
        <w:autoSpaceDN w:val="0"/>
        <w:adjustRightInd w:val="0"/>
        <w:ind w:left="480" w:hanging="480"/>
        <w:rPr>
          <w:rFonts w:ascii="Palatino Linotype" w:hAnsi="Palatino Linotype"/>
          <w:noProof/>
        </w:rPr>
      </w:pPr>
      <w:r w:rsidRPr="00B02A30">
        <w:rPr>
          <w:rFonts w:ascii="Palatino Linotype" w:hAnsi="Palatino Linotype"/>
          <w:noProof/>
          <w:szCs w:val="24"/>
        </w:rPr>
        <w:t xml:space="preserve">Trimulato, Supriadi, Mustamin, Umar, S. H., &amp; Ningsih,  dan S. (2021). Strategi Bisnis Bank Syariah di Masa Pandemi Covid-19 Pada PT. Bank Panin Dubai Syariah Cabang Makassar. </w:t>
      </w:r>
      <w:r w:rsidRPr="00B02A30">
        <w:rPr>
          <w:rFonts w:ascii="Palatino Linotype" w:hAnsi="Palatino Linotype"/>
          <w:i/>
          <w:iCs/>
          <w:noProof/>
          <w:szCs w:val="24"/>
        </w:rPr>
        <w:t>Jurnal Ilmiah Ekonomi Islam</w:t>
      </w:r>
      <w:r w:rsidRPr="00B02A30">
        <w:rPr>
          <w:rFonts w:ascii="Palatino Linotype" w:hAnsi="Palatino Linotype"/>
          <w:noProof/>
          <w:szCs w:val="24"/>
        </w:rPr>
        <w:t xml:space="preserve">, </w:t>
      </w:r>
      <w:r w:rsidRPr="00B02A30">
        <w:rPr>
          <w:rFonts w:ascii="Palatino Linotype" w:hAnsi="Palatino Linotype"/>
          <w:i/>
          <w:iCs/>
          <w:noProof/>
          <w:szCs w:val="24"/>
        </w:rPr>
        <w:t>7</w:t>
      </w:r>
      <w:r w:rsidRPr="00B02A30">
        <w:rPr>
          <w:rFonts w:ascii="Palatino Linotype" w:hAnsi="Palatino Linotype"/>
          <w:noProof/>
          <w:szCs w:val="24"/>
        </w:rPr>
        <w:t>(03), 1293–1305. http://jurnal.stie-aas.ac.id/index.php/jiedoi:http://dx.doi.org/10.29040/jiei.v7i3.2908DOI:http://dx.doi.org/10.29040/jiei.v7i3.2908</w:t>
      </w:r>
    </w:p>
    <w:p w:rsidR="00251253" w:rsidRPr="004A35E6" w:rsidRDefault="00B02A30" w:rsidP="004A35E6">
      <w:pPr>
        <w:ind w:left="709" w:hanging="709"/>
        <w:jc w:val="both"/>
        <w:rPr>
          <w:rFonts w:ascii="Palatino Linotype" w:hAnsi="Palatino Linotype" w:cs="Arial"/>
          <w:color w:val="222222"/>
          <w:szCs w:val="24"/>
          <w:shd w:val="clear" w:color="auto" w:fill="FFFFFF"/>
          <w:lang w:val="id-ID"/>
        </w:rPr>
      </w:pPr>
      <w:r>
        <w:rPr>
          <w:rFonts w:ascii="Palatino Linotype" w:hAnsi="Palatino Linotype" w:cs="Arial"/>
          <w:color w:val="222222"/>
          <w:szCs w:val="24"/>
          <w:shd w:val="clear" w:color="auto" w:fill="FFFFFF"/>
          <w:lang w:val="id-ID"/>
        </w:rPr>
        <w:fldChar w:fldCharType="end"/>
      </w:r>
    </w:p>
    <w:sectPr w:rsidR="00251253" w:rsidRPr="004A35E6" w:rsidSect="00425563">
      <w:headerReference w:type="even" r:id="rId10"/>
      <w:headerReference w:type="default" r:id="rId11"/>
      <w:footerReference w:type="even" r:id="rId12"/>
      <w:footerReference w:type="default" r:id="rId13"/>
      <w:headerReference w:type="first" r:id="rId14"/>
      <w:footerReference w:type="first" r:id="rId15"/>
      <w:pgSz w:w="12240" w:h="15840" w:code="1"/>
      <w:pgMar w:top="2098" w:right="2041" w:bottom="1701" w:left="2155"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D5836" w:rsidRDefault="008D5836" w:rsidP="00146D3D">
      <w:r>
        <w:separator/>
      </w:r>
    </w:p>
  </w:endnote>
  <w:endnote w:type="continuationSeparator" w:id="0">
    <w:p w:rsidR="008D5836" w:rsidRDefault="008D5836" w:rsidP="00146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altName w:val="Century Gothic"/>
    <w:panose1 w:val="020F0502020204030204"/>
    <w:charset w:val="00"/>
    <w:family w:val="swiss"/>
    <w:pitch w:val="variable"/>
    <w:sig w:usb0="E4002EFF" w:usb1="C000247B" w:usb2="00000009" w:usb3="00000000" w:csb0="000001FF" w:csb1="00000000"/>
  </w:font>
  <w:font w:name="MS Mincho">
    <w:altName w:val="‚l‚r –¾’©"/>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38D" w:rsidRPr="00C947D8" w:rsidRDefault="007F538D" w:rsidP="007B5726">
    <w:pPr>
      <w:pStyle w:val="Footer"/>
      <w:jc w:val="center"/>
      <w:rPr>
        <w:sz w:val="20"/>
        <w:szCs w:val="20"/>
      </w:rPr>
    </w:pPr>
    <w:r w:rsidRPr="00C947D8">
      <w:rPr>
        <w:sz w:val="20"/>
        <w:szCs w:val="20"/>
      </w:rPr>
      <w:fldChar w:fldCharType="begin"/>
    </w:r>
    <w:r w:rsidRPr="00C947D8">
      <w:rPr>
        <w:sz w:val="20"/>
        <w:szCs w:val="20"/>
      </w:rPr>
      <w:instrText xml:space="preserve"> PAGE   \* MERGEFORMAT </w:instrText>
    </w:r>
    <w:r w:rsidRPr="00C947D8">
      <w:rPr>
        <w:sz w:val="20"/>
        <w:szCs w:val="20"/>
      </w:rPr>
      <w:fldChar w:fldCharType="separate"/>
    </w:r>
    <w:r w:rsidR="004A35E6">
      <w:rPr>
        <w:noProof/>
        <w:sz w:val="20"/>
        <w:szCs w:val="20"/>
      </w:rPr>
      <w:t>2</w:t>
    </w:r>
    <w:r w:rsidRPr="00C947D8">
      <w:rPr>
        <w:sz w:val="20"/>
        <w:szCs w:val="20"/>
      </w:rPr>
      <w:fldChar w:fldCharType="end"/>
    </w:r>
  </w:p>
  <w:p w:rsidR="007F538D" w:rsidRDefault="007F538D" w:rsidP="007F53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E5695" w:rsidRPr="00661D23" w:rsidRDefault="000E5695" w:rsidP="00661D23">
    <w:pPr>
      <w:pStyle w:val="Footer"/>
      <w:jc w:val="center"/>
      <w:rPr>
        <w:rFonts w:ascii="Palatino Linotype" w:hAnsi="Palatino Linotype"/>
      </w:rPr>
    </w:pPr>
    <w:r w:rsidRPr="00661D23">
      <w:rPr>
        <w:rFonts w:ascii="Palatino Linotype" w:hAnsi="Palatino Linotype"/>
      </w:rPr>
      <w:fldChar w:fldCharType="begin"/>
    </w:r>
    <w:r w:rsidRPr="00661D23">
      <w:rPr>
        <w:rFonts w:ascii="Palatino Linotype" w:hAnsi="Palatino Linotype"/>
      </w:rPr>
      <w:instrText xml:space="preserve"> PAGE   \* MERGEFORMAT </w:instrText>
    </w:r>
    <w:r w:rsidRPr="00661D23">
      <w:rPr>
        <w:rFonts w:ascii="Palatino Linotype" w:hAnsi="Palatino Linotype"/>
      </w:rPr>
      <w:fldChar w:fldCharType="separate"/>
    </w:r>
    <w:r w:rsidR="004A35E6">
      <w:rPr>
        <w:rFonts w:ascii="Palatino Linotype" w:hAnsi="Palatino Linotype"/>
        <w:noProof/>
      </w:rPr>
      <w:t>3</w:t>
    </w:r>
    <w:r w:rsidRPr="00661D23">
      <w:rPr>
        <w:rFonts w:ascii="Palatino Linotype" w:hAnsi="Palatino Linotype"/>
      </w:rPr>
      <w:fldChar w:fldCharType="end"/>
    </w:r>
  </w:p>
  <w:p w:rsidR="000E5695" w:rsidRDefault="000E56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F538D" w:rsidRDefault="007F538D" w:rsidP="007F538D">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D5836" w:rsidRDefault="008D5836" w:rsidP="00146D3D">
      <w:r>
        <w:separator/>
      </w:r>
    </w:p>
  </w:footnote>
  <w:footnote w:type="continuationSeparator" w:id="0">
    <w:p w:rsidR="008D5836" w:rsidRDefault="008D5836" w:rsidP="00146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1EFB" w:rsidRPr="00AA6E1A" w:rsidRDefault="001F7597" w:rsidP="0026520D">
    <w:pPr>
      <w:pStyle w:val="Header"/>
      <w:tabs>
        <w:tab w:val="left" w:pos="5670"/>
      </w:tabs>
      <w:rPr>
        <w:rFonts w:ascii="Palatino Linotype" w:hAnsi="Palatino Linotype"/>
        <w:sz w:val="20"/>
        <w:szCs w:val="20"/>
      </w:rPr>
    </w:pPr>
    <w:r>
      <w:rPr>
        <w:noProof/>
      </w:rPr>
      <w:drawing>
        <wp:anchor distT="0" distB="0" distL="114300" distR="114300" simplePos="0" relativeHeight="251658240" behindDoc="1" locked="0" layoutInCell="1" allowOverlap="1">
          <wp:simplePos x="0" y="0"/>
          <wp:positionH relativeFrom="column">
            <wp:posOffset>-139065</wp:posOffset>
          </wp:positionH>
          <wp:positionV relativeFrom="paragraph">
            <wp:posOffset>141605</wp:posOffset>
          </wp:positionV>
          <wp:extent cx="2218690" cy="709295"/>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869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1555" w:rsidRPr="00AA6E1A" w:rsidRDefault="002D1555" w:rsidP="0026520D">
    <w:pPr>
      <w:pStyle w:val="Header"/>
      <w:tabs>
        <w:tab w:val="left" w:pos="5670"/>
      </w:tabs>
      <w:rPr>
        <w:rFonts w:ascii="Palatino Linotype" w:hAnsi="Palatino Linotype"/>
        <w:sz w:val="20"/>
        <w:szCs w:val="20"/>
        <w:lang w:val="en-US"/>
      </w:rPr>
    </w:pPr>
  </w:p>
  <w:p w:rsidR="002D1555" w:rsidRPr="00AA6E1A" w:rsidRDefault="002D1555" w:rsidP="00760853">
    <w:pPr>
      <w:pStyle w:val="Header"/>
      <w:rPr>
        <w:rFonts w:ascii="Palatino Linotype" w:hAnsi="Palatino Linotype"/>
        <w:sz w:val="20"/>
        <w:szCs w:val="20"/>
        <w:lang w:val="en-US"/>
      </w:rPr>
    </w:pPr>
  </w:p>
  <w:p w:rsidR="000B3DBB" w:rsidRPr="00C23D0A" w:rsidRDefault="00136B69" w:rsidP="0001018C">
    <w:pPr>
      <w:pStyle w:val="Header"/>
      <w:jc w:val="right"/>
      <w:rPr>
        <w:rFonts w:ascii="Palatino Linotype" w:hAnsi="Palatino Linotype"/>
        <w:sz w:val="20"/>
        <w:szCs w:val="20"/>
      </w:rPr>
    </w:pPr>
    <w:r w:rsidRPr="00AA6E1A">
      <w:rPr>
        <w:rFonts w:ascii="Palatino Linotype" w:hAnsi="Palatino Linotype"/>
        <w:sz w:val="20"/>
        <w:szCs w:val="20"/>
        <w:lang w:val="en-US"/>
      </w:rPr>
      <w:tab/>
    </w:r>
    <w:r w:rsidRPr="00AA6E1A">
      <w:rPr>
        <w:rFonts w:ascii="Palatino Linotype" w:hAnsi="Palatino Linotype"/>
        <w:sz w:val="20"/>
        <w:szCs w:val="20"/>
        <w:lang w:val="en-US"/>
      </w:rPr>
      <w:tab/>
    </w:r>
    <w:r w:rsidR="00AA6E1A">
      <w:rPr>
        <w:rFonts w:ascii="Palatino Linotype" w:hAnsi="Palatino Linotype"/>
        <w:sz w:val="20"/>
        <w:szCs w:val="20"/>
      </w:rPr>
      <w:t xml:space="preserve"> Volume </w:t>
    </w:r>
    <w:r w:rsidR="00C23D0A">
      <w:rPr>
        <w:rFonts w:ascii="Palatino Linotype" w:hAnsi="Palatino Linotype"/>
        <w:sz w:val="20"/>
        <w:szCs w:val="20"/>
      </w:rPr>
      <w:t>...</w:t>
    </w:r>
    <w:r w:rsidR="00AA6E1A">
      <w:rPr>
        <w:rFonts w:ascii="Palatino Linotype" w:hAnsi="Palatino Linotype"/>
        <w:sz w:val="20"/>
        <w:szCs w:val="20"/>
      </w:rPr>
      <w:t>, Nomor</w:t>
    </w:r>
    <w:r w:rsidR="00985716" w:rsidRPr="00AA6E1A">
      <w:rPr>
        <w:rFonts w:ascii="Palatino Linotype" w:hAnsi="Palatino Linotype"/>
        <w:sz w:val="20"/>
        <w:szCs w:val="20"/>
      </w:rPr>
      <w:t xml:space="preserve"> </w:t>
    </w:r>
    <w:r w:rsidR="00C23D0A">
      <w:rPr>
        <w:rFonts w:ascii="Palatino Linotype" w:hAnsi="Palatino Linotype"/>
        <w:sz w:val="20"/>
        <w:szCs w:val="20"/>
      </w:rPr>
      <w:t>..</w:t>
    </w:r>
  </w:p>
  <w:p w:rsidR="00661D23" w:rsidRPr="00661D23" w:rsidRDefault="001F7597" w:rsidP="00661D23">
    <w:pPr>
      <w:pStyle w:val="Header"/>
      <w:tabs>
        <w:tab w:val="clear" w:pos="4153"/>
        <w:tab w:val="clear" w:pos="8306"/>
        <w:tab w:val="center" w:pos="4022"/>
      </w:tabs>
      <w:rPr>
        <w:rFonts w:ascii="Palatino Linotype" w:hAnsi="Palatino Linotype"/>
        <w:sz w:val="20"/>
        <w:szCs w:val="20"/>
      </w:rPr>
    </w:pPr>
    <w:r>
      <w:rPr>
        <w:noProof/>
      </w:rPr>
      <mc:AlternateContent>
        <mc:Choice Requires="wps">
          <w:drawing>
            <wp:anchor distT="0" distB="0" distL="114300" distR="114300" simplePos="0" relativeHeight="251656192" behindDoc="0" locked="0" layoutInCell="1" allowOverlap="1">
              <wp:simplePos x="0" y="0"/>
              <wp:positionH relativeFrom="column">
                <wp:posOffset>-8255</wp:posOffset>
              </wp:positionH>
              <wp:positionV relativeFrom="paragraph">
                <wp:posOffset>98425</wp:posOffset>
              </wp:positionV>
              <wp:extent cx="5259705" cy="0"/>
              <wp:effectExtent l="7620" t="12065" r="9525" b="698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7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FE390ED" id="_x0000_t32" coordsize="21600,21600" o:spt="32" o:oned="t" path="m,l21600,21600e" filled="f">
              <v:path arrowok="t" fillok="f" o:connecttype="none"/>
              <o:lock v:ext="edit" shapetype="t"/>
            </v:shapetype>
            <v:shape id="AutoShape 2" o:spid="_x0000_s1026" type="#_x0000_t32" style="position:absolute;margin-left:-.65pt;margin-top:7.75pt;width:414.15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"/>
          </w:pict>
        </mc:Fallback>
      </mc:AlternateContent>
    </w:r>
    <w:r w:rsidR="00661D23">
      <w:rPr>
        <w:rFonts w:ascii="Palatino Linotype" w:hAnsi="Palatino Linotype"/>
        <w:sz w:val="20"/>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555" w:rsidRDefault="002D1555" w:rsidP="008A14DD">
    <w:pPr>
      <w:pStyle w:val="Header"/>
      <w:tabs>
        <w:tab w:val="clear" w:pos="4153"/>
        <w:tab w:val="clear" w:pos="8306"/>
        <w:tab w:val="center" w:leader="dot" w:pos="7371"/>
      </w:tabs>
      <w:rPr>
        <w:i/>
        <w:iCs/>
        <w:sz w:val="20"/>
        <w:szCs w:val="20"/>
        <w:lang w:val="en-US"/>
      </w:rPr>
    </w:pPr>
  </w:p>
  <w:p w:rsidR="002D1555" w:rsidRDefault="002D1555" w:rsidP="008A14DD">
    <w:pPr>
      <w:pStyle w:val="Header"/>
      <w:tabs>
        <w:tab w:val="clear" w:pos="4153"/>
        <w:tab w:val="clear" w:pos="8306"/>
        <w:tab w:val="center" w:leader="dot" w:pos="7371"/>
      </w:tabs>
      <w:rPr>
        <w:i/>
        <w:iCs/>
        <w:sz w:val="20"/>
        <w:szCs w:val="20"/>
        <w:lang w:val="en-US"/>
      </w:rPr>
    </w:pPr>
  </w:p>
  <w:p w:rsidR="00D02FDC" w:rsidRDefault="00D02FDC" w:rsidP="00555653">
    <w:pPr>
      <w:pStyle w:val="Header"/>
      <w:tabs>
        <w:tab w:val="clear" w:pos="4153"/>
        <w:tab w:val="clear" w:pos="8306"/>
        <w:tab w:val="center" w:leader="dot" w:pos="7371"/>
      </w:tabs>
      <w:rPr>
        <w:i/>
        <w:iCs/>
        <w:sz w:val="20"/>
        <w:szCs w:val="20"/>
      </w:rPr>
    </w:pPr>
  </w:p>
  <w:p w:rsidR="00252FC9" w:rsidRPr="00A247D9" w:rsidRDefault="00252FC9" w:rsidP="00252FC9">
    <w:pPr>
      <w:pStyle w:val="Header"/>
      <w:tabs>
        <w:tab w:val="clear" w:pos="4153"/>
        <w:tab w:val="clear" w:pos="8306"/>
        <w:tab w:val="center" w:leader="dot" w:pos="7371"/>
      </w:tabs>
      <w:rPr>
        <w:rFonts w:ascii="Palatino Linotype" w:hAnsi="Palatino Linotype"/>
        <w:i/>
        <w:iCs/>
        <w:sz w:val="20"/>
        <w:szCs w:val="20"/>
      </w:rPr>
    </w:pPr>
    <w:r>
      <w:rPr>
        <w:rFonts w:ascii="Palatino Linotype" w:hAnsi="Palatino Linotype"/>
        <w:i/>
        <w:iCs/>
        <w:sz w:val="20"/>
        <w:szCs w:val="20"/>
      </w:rPr>
      <w:t>Judul Artikel</w:t>
    </w:r>
    <w:r w:rsidRPr="00A247D9">
      <w:rPr>
        <w:rFonts w:ascii="Palatino Linotype" w:hAnsi="Palatino Linotype"/>
        <w:i/>
        <w:iCs/>
        <w:sz w:val="20"/>
        <w:szCs w:val="20"/>
      </w:rPr>
      <w:t xml:space="preserve"> </w:t>
    </w:r>
    <w:r w:rsidRPr="00A247D9">
      <w:rPr>
        <w:rFonts w:ascii="Palatino Linotype" w:hAnsi="Palatino Linotype"/>
        <w:i/>
        <w:iCs/>
        <w:sz w:val="20"/>
        <w:szCs w:val="20"/>
      </w:rPr>
      <w:tab/>
    </w:r>
    <w:r>
      <w:rPr>
        <w:rFonts w:ascii="Palatino Linotype" w:hAnsi="Palatino Linotype"/>
        <w:i/>
        <w:iCs/>
        <w:sz w:val="20"/>
        <w:szCs w:val="20"/>
      </w:rPr>
      <w:t xml:space="preserve"> Nama Penulis</w:t>
    </w:r>
  </w:p>
  <w:p w:rsidR="000D7CC2" w:rsidRPr="00661D23" w:rsidRDefault="001F7597" w:rsidP="00661D23">
    <w:pPr>
      <w:pStyle w:val="Header"/>
      <w:tabs>
        <w:tab w:val="clear" w:pos="4153"/>
        <w:tab w:val="clear" w:pos="8306"/>
        <w:tab w:val="center" w:leader="dot" w:pos="7371"/>
      </w:tabs>
      <w:rPr>
        <w:i/>
        <w:iCs/>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635</wp:posOffset>
              </wp:positionH>
              <wp:positionV relativeFrom="paragraph">
                <wp:posOffset>59690</wp:posOffset>
              </wp:positionV>
              <wp:extent cx="5088890" cy="0"/>
              <wp:effectExtent l="6985" t="12065" r="9525" b="698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8FE90B" id="_x0000_t32" coordsize="21600,21600" o:spt="32" o:oned="t" path="m,l21600,21600e" filled="f">
              <v:path arrowok="t" fillok="f" o:connecttype="none"/>
              <o:lock v:ext="edit" shapetype="t"/>
            </v:shapetype>
            <v:shape id="AutoShape 3" o:spid="_x0000_s1026" type="#_x0000_t32" style="position:absolute;margin-left:.05pt;margin-top:4.7pt;width:400.7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1555" w:rsidRPr="00A247D9" w:rsidRDefault="002D1555" w:rsidP="007F538D">
    <w:pPr>
      <w:pStyle w:val="Header"/>
      <w:tabs>
        <w:tab w:val="clear" w:pos="4153"/>
        <w:tab w:val="clear" w:pos="8306"/>
        <w:tab w:val="center" w:leader="dot" w:pos="7371"/>
      </w:tabs>
      <w:rPr>
        <w:rFonts w:ascii="Palatino Linotype" w:hAnsi="Palatino Linotype"/>
        <w:i/>
        <w:iCs/>
        <w:sz w:val="20"/>
        <w:szCs w:val="20"/>
      </w:rPr>
    </w:pPr>
  </w:p>
  <w:p w:rsidR="00CC1EFB" w:rsidRPr="00A247D9" w:rsidRDefault="00CC1EFB" w:rsidP="007F538D">
    <w:pPr>
      <w:pStyle w:val="Header"/>
      <w:tabs>
        <w:tab w:val="clear" w:pos="4153"/>
        <w:tab w:val="clear" w:pos="8306"/>
        <w:tab w:val="center" w:leader="dot" w:pos="7371"/>
      </w:tabs>
      <w:rPr>
        <w:rFonts w:ascii="Palatino Linotype" w:hAnsi="Palatino Linotype"/>
        <w:i/>
        <w:iCs/>
        <w:sz w:val="20"/>
        <w:szCs w:val="20"/>
      </w:rPr>
    </w:pPr>
  </w:p>
  <w:p w:rsidR="002D1555" w:rsidRPr="00A247D9" w:rsidRDefault="002D1555" w:rsidP="007F538D">
    <w:pPr>
      <w:pStyle w:val="Header"/>
      <w:tabs>
        <w:tab w:val="clear" w:pos="4153"/>
        <w:tab w:val="clear" w:pos="8306"/>
        <w:tab w:val="center" w:leader="dot" w:pos="7371"/>
      </w:tabs>
      <w:rPr>
        <w:rFonts w:ascii="Palatino Linotype" w:hAnsi="Palatino Linotype"/>
        <w:i/>
        <w:iCs/>
        <w:sz w:val="20"/>
        <w:szCs w:val="20"/>
        <w:lang w:val="en-US"/>
      </w:rPr>
    </w:pPr>
  </w:p>
  <w:p w:rsidR="007F538D" w:rsidRPr="00A247D9" w:rsidRDefault="00252FC9" w:rsidP="007F538D">
    <w:pPr>
      <w:pStyle w:val="Header"/>
      <w:tabs>
        <w:tab w:val="clear" w:pos="4153"/>
        <w:tab w:val="clear" w:pos="8306"/>
        <w:tab w:val="center" w:leader="dot" w:pos="7371"/>
      </w:tabs>
      <w:rPr>
        <w:rFonts w:ascii="Palatino Linotype" w:hAnsi="Palatino Linotype"/>
        <w:i/>
        <w:iCs/>
        <w:sz w:val="20"/>
        <w:szCs w:val="20"/>
      </w:rPr>
    </w:pPr>
    <w:r>
      <w:rPr>
        <w:rFonts w:ascii="Palatino Linotype" w:hAnsi="Palatino Linotype"/>
        <w:i/>
        <w:iCs/>
        <w:sz w:val="20"/>
        <w:szCs w:val="20"/>
      </w:rPr>
      <w:t>Judul Artikel</w:t>
    </w:r>
    <w:r w:rsidR="00AA6E1A" w:rsidRPr="00A247D9">
      <w:rPr>
        <w:rFonts w:ascii="Palatino Linotype" w:hAnsi="Palatino Linotype"/>
        <w:i/>
        <w:iCs/>
        <w:sz w:val="20"/>
        <w:szCs w:val="20"/>
      </w:rPr>
      <w:t xml:space="preserve"> </w:t>
    </w:r>
    <w:r w:rsidR="00AA6E1A" w:rsidRPr="00A247D9">
      <w:rPr>
        <w:rFonts w:ascii="Palatino Linotype" w:hAnsi="Palatino Linotype"/>
        <w:i/>
        <w:iCs/>
        <w:sz w:val="20"/>
        <w:szCs w:val="20"/>
      </w:rPr>
      <w:tab/>
    </w:r>
    <w:r>
      <w:rPr>
        <w:rFonts w:ascii="Palatino Linotype" w:hAnsi="Palatino Linotype"/>
        <w:i/>
        <w:iCs/>
        <w:sz w:val="20"/>
        <w:szCs w:val="20"/>
      </w:rPr>
      <w:t xml:space="preserve"> Nama Penulis</w:t>
    </w:r>
  </w:p>
  <w:p w:rsidR="007F538D" w:rsidRPr="00A247D9" w:rsidRDefault="001F7597" w:rsidP="007F538D">
    <w:pPr>
      <w:pStyle w:val="Header"/>
      <w:tabs>
        <w:tab w:val="clear" w:pos="4153"/>
        <w:tab w:val="clear" w:pos="8306"/>
        <w:tab w:val="center" w:leader="dot" w:pos="7371"/>
      </w:tabs>
      <w:rPr>
        <w:rFonts w:ascii="Palatino Linotype" w:hAnsi="Palatino Linotype"/>
        <w:i/>
        <w:iCs/>
        <w:sz w:val="20"/>
        <w:szCs w:val="20"/>
      </w:rPr>
    </w:pPr>
    <w:r>
      <w:rPr>
        <w:noProof/>
      </w:rPr>
      <mc:AlternateContent>
        <mc:Choice Requires="wps">
          <w:drawing>
            <wp:anchor distT="0" distB="0" distL="114300" distR="114300" simplePos="0" relativeHeight="251657216" behindDoc="0" locked="0" layoutInCell="1" allowOverlap="1">
              <wp:simplePos x="0" y="0"/>
              <wp:positionH relativeFrom="column">
                <wp:posOffset>635</wp:posOffset>
              </wp:positionH>
              <wp:positionV relativeFrom="paragraph">
                <wp:posOffset>50165</wp:posOffset>
              </wp:positionV>
              <wp:extent cx="5088890" cy="0"/>
              <wp:effectExtent l="6985" t="11430" r="9525" b="7620"/>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88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E72304" id="_x0000_t32" coordsize="21600,21600" o:spt="32" o:oned="t" path="m,l21600,21600e" filled="f">
              <v:path arrowok="t" fillok="f" o:connecttype="none"/>
              <o:lock v:ext="edit" shapetype="t"/>
            </v:shapetype>
            <v:shape id="AutoShape 4" o:spid="_x0000_s1026" type="#_x0000_t32" style="position:absolute;margin-left:.05pt;margin-top:3.95pt;width:400.7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E2EA3"/>
    <w:multiLevelType w:val="hybridMultilevel"/>
    <w:tmpl w:val="45FE9976"/>
    <w:lvl w:ilvl="0" w:tplc="B2C2373C">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D83E4900">
      <w:start w:val="1"/>
      <w:numFmt w:val="decimal"/>
      <w:lvlText w:val="%4."/>
      <w:lvlJc w:val="left"/>
      <w:pPr>
        <w:ind w:left="2880" w:hanging="360"/>
      </w:pPr>
      <w:rPr>
        <w:rFonts w:ascii="Times New Roman" w:eastAsia="Times New Roman" w:hAnsi="Times New Roman"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03C83248"/>
    <w:multiLevelType w:val="hybridMultilevel"/>
    <w:tmpl w:val="C752180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48F13A1"/>
    <w:multiLevelType w:val="hybridMultilevel"/>
    <w:tmpl w:val="18A61774"/>
    <w:lvl w:ilvl="0" w:tplc="6AF0ED5A">
      <w:start w:val="1"/>
      <w:numFmt w:val="decimal"/>
      <w:lvlText w:val="%1)"/>
      <w:lvlJc w:val="left"/>
      <w:pPr>
        <w:ind w:left="2280" w:hanging="360"/>
      </w:pPr>
      <w:rPr>
        <w:rFonts w:cs="Times New Roman" w:hint="default"/>
      </w:rPr>
    </w:lvl>
    <w:lvl w:ilvl="1" w:tplc="04090019" w:tentative="1">
      <w:start w:val="1"/>
      <w:numFmt w:val="lowerLetter"/>
      <w:lvlText w:val="%2."/>
      <w:lvlJc w:val="left"/>
      <w:pPr>
        <w:ind w:left="3000" w:hanging="360"/>
      </w:pPr>
      <w:rPr>
        <w:rFonts w:cs="Times New Roman"/>
      </w:rPr>
    </w:lvl>
    <w:lvl w:ilvl="2" w:tplc="0409001B" w:tentative="1">
      <w:start w:val="1"/>
      <w:numFmt w:val="lowerRoman"/>
      <w:lvlText w:val="%3."/>
      <w:lvlJc w:val="right"/>
      <w:pPr>
        <w:ind w:left="3720" w:hanging="180"/>
      </w:pPr>
      <w:rPr>
        <w:rFonts w:cs="Times New Roman"/>
      </w:rPr>
    </w:lvl>
    <w:lvl w:ilvl="3" w:tplc="0409000F" w:tentative="1">
      <w:start w:val="1"/>
      <w:numFmt w:val="decimal"/>
      <w:lvlText w:val="%4."/>
      <w:lvlJc w:val="left"/>
      <w:pPr>
        <w:ind w:left="4440" w:hanging="360"/>
      </w:pPr>
      <w:rPr>
        <w:rFonts w:cs="Times New Roman"/>
      </w:rPr>
    </w:lvl>
    <w:lvl w:ilvl="4" w:tplc="04090019" w:tentative="1">
      <w:start w:val="1"/>
      <w:numFmt w:val="lowerLetter"/>
      <w:lvlText w:val="%5."/>
      <w:lvlJc w:val="left"/>
      <w:pPr>
        <w:ind w:left="5160" w:hanging="360"/>
      </w:pPr>
      <w:rPr>
        <w:rFonts w:cs="Times New Roman"/>
      </w:rPr>
    </w:lvl>
    <w:lvl w:ilvl="5" w:tplc="0409001B" w:tentative="1">
      <w:start w:val="1"/>
      <w:numFmt w:val="lowerRoman"/>
      <w:lvlText w:val="%6."/>
      <w:lvlJc w:val="right"/>
      <w:pPr>
        <w:ind w:left="5880" w:hanging="180"/>
      </w:pPr>
      <w:rPr>
        <w:rFonts w:cs="Times New Roman"/>
      </w:rPr>
    </w:lvl>
    <w:lvl w:ilvl="6" w:tplc="0409000F" w:tentative="1">
      <w:start w:val="1"/>
      <w:numFmt w:val="decimal"/>
      <w:lvlText w:val="%7."/>
      <w:lvlJc w:val="left"/>
      <w:pPr>
        <w:ind w:left="6600" w:hanging="360"/>
      </w:pPr>
      <w:rPr>
        <w:rFonts w:cs="Times New Roman"/>
      </w:rPr>
    </w:lvl>
    <w:lvl w:ilvl="7" w:tplc="04090019" w:tentative="1">
      <w:start w:val="1"/>
      <w:numFmt w:val="lowerLetter"/>
      <w:lvlText w:val="%8."/>
      <w:lvlJc w:val="left"/>
      <w:pPr>
        <w:ind w:left="7320" w:hanging="360"/>
      </w:pPr>
      <w:rPr>
        <w:rFonts w:cs="Times New Roman"/>
      </w:rPr>
    </w:lvl>
    <w:lvl w:ilvl="8" w:tplc="0409001B" w:tentative="1">
      <w:start w:val="1"/>
      <w:numFmt w:val="lowerRoman"/>
      <w:lvlText w:val="%9."/>
      <w:lvlJc w:val="right"/>
      <w:pPr>
        <w:ind w:left="8040" w:hanging="180"/>
      </w:pPr>
      <w:rPr>
        <w:rFonts w:cs="Times New Roman"/>
      </w:rPr>
    </w:lvl>
  </w:abstractNum>
  <w:abstractNum w:abstractNumId="3" w15:restartNumberingAfterBreak="0">
    <w:nsid w:val="0561199F"/>
    <w:multiLevelType w:val="hybridMultilevel"/>
    <w:tmpl w:val="26DAF67A"/>
    <w:lvl w:ilvl="0" w:tplc="B01A8C62">
      <w:start w:val="1"/>
      <w:numFmt w:val="decimal"/>
      <w:lvlText w:val="%1."/>
      <w:lvlJc w:val="right"/>
      <w:pPr>
        <w:ind w:left="1287"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4" w15:restartNumberingAfterBreak="0">
    <w:nsid w:val="070A2B47"/>
    <w:multiLevelType w:val="hybridMultilevel"/>
    <w:tmpl w:val="0EE47BDA"/>
    <w:lvl w:ilvl="0" w:tplc="04090019">
      <w:start w:val="1"/>
      <w:numFmt w:val="lowerLetter"/>
      <w:lvlText w:val="%1."/>
      <w:lvlJc w:val="left"/>
      <w:pPr>
        <w:ind w:left="1287" w:hanging="360"/>
      </w:pPr>
      <w:rPr>
        <w:rFonts w:cs="Times New Roman"/>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5" w15:restartNumberingAfterBreak="0">
    <w:nsid w:val="0E3656D2"/>
    <w:multiLevelType w:val="hybridMultilevel"/>
    <w:tmpl w:val="601EDC20"/>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 w15:restartNumberingAfterBreak="0">
    <w:nsid w:val="0EF75AD0"/>
    <w:multiLevelType w:val="hybridMultilevel"/>
    <w:tmpl w:val="89B423F0"/>
    <w:lvl w:ilvl="0" w:tplc="F16EC33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D8826A1"/>
    <w:multiLevelType w:val="hybridMultilevel"/>
    <w:tmpl w:val="C752180A"/>
    <w:lvl w:ilvl="0" w:tplc="04090019">
      <w:start w:val="1"/>
      <w:numFmt w:val="low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242D1243"/>
    <w:multiLevelType w:val="hybridMultilevel"/>
    <w:tmpl w:val="E02A31B0"/>
    <w:lvl w:ilvl="0" w:tplc="96A838CE">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805123C"/>
    <w:multiLevelType w:val="hybridMultilevel"/>
    <w:tmpl w:val="64F2EF4C"/>
    <w:lvl w:ilvl="0" w:tplc="E362C01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15:restartNumberingAfterBreak="0">
    <w:nsid w:val="37600D03"/>
    <w:multiLevelType w:val="hybridMultilevel"/>
    <w:tmpl w:val="9ECEE89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398C6207"/>
    <w:multiLevelType w:val="hybridMultilevel"/>
    <w:tmpl w:val="61EC18AA"/>
    <w:lvl w:ilvl="0" w:tplc="F0A0E442">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12" w15:restartNumberingAfterBreak="0">
    <w:nsid w:val="3B777B5D"/>
    <w:multiLevelType w:val="hybridMultilevel"/>
    <w:tmpl w:val="5C3E285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BC52E42"/>
    <w:multiLevelType w:val="hybridMultilevel"/>
    <w:tmpl w:val="5D90D7E6"/>
    <w:lvl w:ilvl="0" w:tplc="3FE25190">
      <w:numFmt w:val="bullet"/>
      <w:lvlText w:val="-"/>
      <w:lvlJc w:val="left"/>
      <w:pPr>
        <w:ind w:left="2880" w:hanging="360"/>
      </w:pPr>
      <w:rPr>
        <w:rFonts w:ascii="Times New Roman" w:eastAsia="Times New Roman" w:hAnsi="Times New Roman"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4" w15:restartNumberingAfterBreak="0">
    <w:nsid w:val="3EBE43AC"/>
    <w:multiLevelType w:val="hybridMultilevel"/>
    <w:tmpl w:val="C694D850"/>
    <w:lvl w:ilvl="0" w:tplc="44ACD75E">
      <w:start w:val="1"/>
      <w:numFmt w:val="lowerLetter"/>
      <w:lvlText w:val="%1."/>
      <w:lvlJc w:val="left"/>
      <w:pPr>
        <w:ind w:left="1844" w:hanging="360"/>
      </w:pPr>
      <w:rPr>
        <w:rFonts w:cs="Times New Roman" w:hint="default"/>
      </w:rPr>
    </w:lvl>
    <w:lvl w:ilvl="1" w:tplc="04090019" w:tentative="1">
      <w:start w:val="1"/>
      <w:numFmt w:val="lowerLetter"/>
      <w:lvlText w:val="%2."/>
      <w:lvlJc w:val="left"/>
      <w:pPr>
        <w:ind w:left="2564" w:hanging="360"/>
      </w:pPr>
      <w:rPr>
        <w:rFonts w:cs="Times New Roman"/>
      </w:rPr>
    </w:lvl>
    <w:lvl w:ilvl="2" w:tplc="0409001B">
      <w:start w:val="1"/>
      <w:numFmt w:val="lowerRoman"/>
      <w:lvlText w:val="%3."/>
      <w:lvlJc w:val="right"/>
      <w:pPr>
        <w:ind w:left="3284" w:hanging="180"/>
      </w:pPr>
      <w:rPr>
        <w:rFonts w:cs="Times New Roman"/>
      </w:rPr>
    </w:lvl>
    <w:lvl w:ilvl="3" w:tplc="0409000F">
      <w:start w:val="1"/>
      <w:numFmt w:val="decimal"/>
      <w:lvlText w:val="%4."/>
      <w:lvlJc w:val="left"/>
      <w:pPr>
        <w:ind w:left="4004" w:hanging="360"/>
      </w:pPr>
      <w:rPr>
        <w:rFonts w:cs="Times New Roman"/>
      </w:rPr>
    </w:lvl>
    <w:lvl w:ilvl="4" w:tplc="04090019" w:tentative="1">
      <w:start w:val="1"/>
      <w:numFmt w:val="lowerLetter"/>
      <w:lvlText w:val="%5."/>
      <w:lvlJc w:val="left"/>
      <w:pPr>
        <w:ind w:left="4724" w:hanging="360"/>
      </w:pPr>
      <w:rPr>
        <w:rFonts w:cs="Times New Roman"/>
      </w:rPr>
    </w:lvl>
    <w:lvl w:ilvl="5" w:tplc="0409001B" w:tentative="1">
      <w:start w:val="1"/>
      <w:numFmt w:val="lowerRoman"/>
      <w:lvlText w:val="%6."/>
      <w:lvlJc w:val="right"/>
      <w:pPr>
        <w:ind w:left="5444" w:hanging="180"/>
      </w:pPr>
      <w:rPr>
        <w:rFonts w:cs="Times New Roman"/>
      </w:rPr>
    </w:lvl>
    <w:lvl w:ilvl="6" w:tplc="0409000F" w:tentative="1">
      <w:start w:val="1"/>
      <w:numFmt w:val="decimal"/>
      <w:lvlText w:val="%7."/>
      <w:lvlJc w:val="left"/>
      <w:pPr>
        <w:ind w:left="6164" w:hanging="360"/>
      </w:pPr>
      <w:rPr>
        <w:rFonts w:cs="Times New Roman"/>
      </w:rPr>
    </w:lvl>
    <w:lvl w:ilvl="7" w:tplc="04090019" w:tentative="1">
      <w:start w:val="1"/>
      <w:numFmt w:val="lowerLetter"/>
      <w:lvlText w:val="%8."/>
      <w:lvlJc w:val="left"/>
      <w:pPr>
        <w:ind w:left="6884" w:hanging="360"/>
      </w:pPr>
      <w:rPr>
        <w:rFonts w:cs="Times New Roman"/>
      </w:rPr>
    </w:lvl>
    <w:lvl w:ilvl="8" w:tplc="0409001B" w:tentative="1">
      <w:start w:val="1"/>
      <w:numFmt w:val="lowerRoman"/>
      <w:lvlText w:val="%9."/>
      <w:lvlJc w:val="right"/>
      <w:pPr>
        <w:ind w:left="7604" w:hanging="180"/>
      </w:pPr>
      <w:rPr>
        <w:rFonts w:cs="Times New Roman"/>
      </w:rPr>
    </w:lvl>
  </w:abstractNum>
  <w:abstractNum w:abstractNumId="15" w15:restartNumberingAfterBreak="0">
    <w:nsid w:val="3FB1315B"/>
    <w:multiLevelType w:val="hybridMultilevel"/>
    <w:tmpl w:val="3EC2E36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431C4F6A"/>
    <w:multiLevelType w:val="hybridMultilevel"/>
    <w:tmpl w:val="FD46F426"/>
    <w:lvl w:ilvl="0" w:tplc="7B945032">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15:restartNumberingAfterBreak="0">
    <w:nsid w:val="4CC60472"/>
    <w:multiLevelType w:val="hybridMultilevel"/>
    <w:tmpl w:val="5344BFEE"/>
    <w:lvl w:ilvl="0" w:tplc="0409000F">
      <w:start w:val="1"/>
      <w:numFmt w:val="decimal"/>
      <w:lvlText w:val="%1."/>
      <w:lvlJc w:val="left"/>
      <w:pPr>
        <w:ind w:left="771" w:hanging="360"/>
      </w:pPr>
      <w:rPr>
        <w:rFonts w:cs="Times New Roman"/>
      </w:rPr>
    </w:lvl>
    <w:lvl w:ilvl="1" w:tplc="04090019" w:tentative="1">
      <w:start w:val="1"/>
      <w:numFmt w:val="lowerLetter"/>
      <w:lvlText w:val="%2."/>
      <w:lvlJc w:val="left"/>
      <w:pPr>
        <w:ind w:left="1491" w:hanging="360"/>
      </w:pPr>
      <w:rPr>
        <w:rFonts w:cs="Times New Roman"/>
      </w:rPr>
    </w:lvl>
    <w:lvl w:ilvl="2" w:tplc="0409001B" w:tentative="1">
      <w:start w:val="1"/>
      <w:numFmt w:val="lowerRoman"/>
      <w:lvlText w:val="%3."/>
      <w:lvlJc w:val="right"/>
      <w:pPr>
        <w:ind w:left="2211" w:hanging="180"/>
      </w:pPr>
      <w:rPr>
        <w:rFonts w:cs="Times New Roman"/>
      </w:rPr>
    </w:lvl>
    <w:lvl w:ilvl="3" w:tplc="0409000F" w:tentative="1">
      <w:start w:val="1"/>
      <w:numFmt w:val="decimal"/>
      <w:lvlText w:val="%4."/>
      <w:lvlJc w:val="left"/>
      <w:pPr>
        <w:ind w:left="2931" w:hanging="360"/>
      </w:pPr>
      <w:rPr>
        <w:rFonts w:cs="Times New Roman"/>
      </w:rPr>
    </w:lvl>
    <w:lvl w:ilvl="4" w:tplc="04090019" w:tentative="1">
      <w:start w:val="1"/>
      <w:numFmt w:val="lowerLetter"/>
      <w:lvlText w:val="%5."/>
      <w:lvlJc w:val="left"/>
      <w:pPr>
        <w:ind w:left="3651" w:hanging="360"/>
      </w:pPr>
      <w:rPr>
        <w:rFonts w:cs="Times New Roman"/>
      </w:rPr>
    </w:lvl>
    <w:lvl w:ilvl="5" w:tplc="0409001B" w:tentative="1">
      <w:start w:val="1"/>
      <w:numFmt w:val="lowerRoman"/>
      <w:lvlText w:val="%6."/>
      <w:lvlJc w:val="right"/>
      <w:pPr>
        <w:ind w:left="4371" w:hanging="180"/>
      </w:pPr>
      <w:rPr>
        <w:rFonts w:cs="Times New Roman"/>
      </w:rPr>
    </w:lvl>
    <w:lvl w:ilvl="6" w:tplc="0409000F" w:tentative="1">
      <w:start w:val="1"/>
      <w:numFmt w:val="decimal"/>
      <w:lvlText w:val="%7."/>
      <w:lvlJc w:val="left"/>
      <w:pPr>
        <w:ind w:left="5091" w:hanging="360"/>
      </w:pPr>
      <w:rPr>
        <w:rFonts w:cs="Times New Roman"/>
      </w:rPr>
    </w:lvl>
    <w:lvl w:ilvl="7" w:tplc="04090019" w:tentative="1">
      <w:start w:val="1"/>
      <w:numFmt w:val="lowerLetter"/>
      <w:lvlText w:val="%8."/>
      <w:lvlJc w:val="left"/>
      <w:pPr>
        <w:ind w:left="5811" w:hanging="360"/>
      </w:pPr>
      <w:rPr>
        <w:rFonts w:cs="Times New Roman"/>
      </w:rPr>
    </w:lvl>
    <w:lvl w:ilvl="8" w:tplc="0409001B" w:tentative="1">
      <w:start w:val="1"/>
      <w:numFmt w:val="lowerRoman"/>
      <w:lvlText w:val="%9."/>
      <w:lvlJc w:val="right"/>
      <w:pPr>
        <w:ind w:left="6531" w:hanging="180"/>
      </w:pPr>
      <w:rPr>
        <w:rFonts w:cs="Times New Roman"/>
      </w:rPr>
    </w:lvl>
  </w:abstractNum>
  <w:abstractNum w:abstractNumId="18" w15:restartNumberingAfterBreak="0">
    <w:nsid w:val="503B2724"/>
    <w:multiLevelType w:val="hybridMultilevel"/>
    <w:tmpl w:val="6CDEE7AC"/>
    <w:lvl w:ilvl="0" w:tplc="6568E150">
      <w:start w:val="1"/>
      <w:numFmt w:val="lowerLetter"/>
      <w:lvlText w:val="%1."/>
      <w:lvlJc w:val="left"/>
      <w:pPr>
        <w:ind w:left="1080" w:hanging="360"/>
      </w:pPr>
      <w:rPr>
        <w:rFonts w:cs="Times New Roman"/>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19" w15:restartNumberingAfterBreak="0">
    <w:nsid w:val="54120439"/>
    <w:multiLevelType w:val="hybridMultilevel"/>
    <w:tmpl w:val="8784757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58561D5E"/>
    <w:multiLevelType w:val="hybridMultilevel"/>
    <w:tmpl w:val="CC94073E"/>
    <w:lvl w:ilvl="0" w:tplc="0409000F">
      <w:start w:val="1"/>
      <w:numFmt w:val="decimal"/>
      <w:lvlText w:val="%1."/>
      <w:lvlJc w:val="left"/>
      <w:pPr>
        <w:ind w:left="771" w:hanging="360"/>
      </w:pPr>
      <w:rPr>
        <w:rFonts w:cs="Times New Roman"/>
      </w:rPr>
    </w:lvl>
    <w:lvl w:ilvl="1" w:tplc="04090019" w:tentative="1">
      <w:start w:val="1"/>
      <w:numFmt w:val="lowerLetter"/>
      <w:lvlText w:val="%2."/>
      <w:lvlJc w:val="left"/>
      <w:pPr>
        <w:ind w:left="1491" w:hanging="360"/>
      </w:pPr>
      <w:rPr>
        <w:rFonts w:cs="Times New Roman"/>
      </w:rPr>
    </w:lvl>
    <w:lvl w:ilvl="2" w:tplc="0409001B" w:tentative="1">
      <w:start w:val="1"/>
      <w:numFmt w:val="lowerRoman"/>
      <w:lvlText w:val="%3."/>
      <w:lvlJc w:val="right"/>
      <w:pPr>
        <w:ind w:left="2211" w:hanging="180"/>
      </w:pPr>
      <w:rPr>
        <w:rFonts w:cs="Times New Roman"/>
      </w:rPr>
    </w:lvl>
    <w:lvl w:ilvl="3" w:tplc="0409000F" w:tentative="1">
      <w:start w:val="1"/>
      <w:numFmt w:val="decimal"/>
      <w:lvlText w:val="%4."/>
      <w:lvlJc w:val="left"/>
      <w:pPr>
        <w:ind w:left="2931" w:hanging="360"/>
      </w:pPr>
      <w:rPr>
        <w:rFonts w:cs="Times New Roman"/>
      </w:rPr>
    </w:lvl>
    <w:lvl w:ilvl="4" w:tplc="04090019" w:tentative="1">
      <w:start w:val="1"/>
      <w:numFmt w:val="lowerLetter"/>
      <w:lvlText w:val="%5."/>
      <w:lvlJc w:val="left"/>
      <w:pPr>
        <w:ind w:left="3651" w:hanging="360"/>
      </w:pPr>
      <w:rPr>
        <w:rFonts w:cs="Times New Roman"/>
      </w:rPr>
    </w:lvl>
    <w:lvl w:ilvl="5" w:tplc="0409001B" w:tentative="1">
      <w:start w:val="1"/>
      <w:numFmt w:val="lowerRoman"/>
      <w:lvlText w:val="%6."/>
      <w:lvlJc w:val="right"/>
      <w:pPr>
        <w:ind w:left="4371" w:hanging="180"/>
      </w:pPr>
      <w:rPr>
        <w:rFonts w:cs="Times New Roman"/>
      </w:rPr>
    </w:lvl>
    <w:lvl w:ilvl="6" w:tplc="0409000F" w:tentative="1">
      <w:start w:val="1"/>
      <w:numFmt w:val="decimal"/>
      <w:lvlText w:val="%7."/>
      <w:lvlJc w:val="left"/>
      <w:pPr>
        <w:ind w:left="5091" w:hanging="360"/>
      </w:pPr>
      <w:rPr>
        <w:rFonts w:cs="Times New Roman"/>
      </w:rPr>
    </w:lvl>
    <w:lvl w:ilvl="7" w:tplc="04090019" w:tentative="1">
      <w:start w:val="1"/>
      <w:numFmt w:val="lowerLetter"/>
      <w:lvlText w:val="%8."/>
      <w:lvlJc w:val="left"/>
      <w:pPr>
        <w:ind w:left="5811" w:hanging="360"/>
      </w:pPr>
      <w:rPr>
        <w:rFonts w:cs="Times New Roman"/>
      </w:rPr>
    </w:lvl>
    <w:lvl w:ilvl="8" w:tplc="0409001B" w:tentative="1">
      <w:start w:val="1"/>
      <w:numFmt w:val="lowerRoman"/>
      <w:lvlText w:val="%9."/>
      <w:lvlJc w:val="right"/>
      <w:pPr>
        <w:ind w:left="6531" w:hanging="180"/>
      </w:pPr>
      <w:rPr>
        <w:rFonts w:cs="Times New Roman"/>
      </w:rPr>
    </w:lvl>
  </w:abstractNum>
  <w:abstractNum w:abstractNumId="21" w15:restartNumberingAfterBreak="0">
    <w:nsid w:val="66CC5E48"/>
    <w:multiLevelType w:val="hybridMultilevel"/>
    <w:tmpl w:val="4C629CB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15:restartNumberingAfterBreak="0">
    <w:nsid w:val="6D1A49D2"/>
    <w:multiLevelType w:val="hybridMultilevel"/>
    <w:tmpl w:val="1990EA0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782E451F"/>
    <w:multiLevelType w:val="hybridMultilevel"/>
    <w:tmpl w:val="04429AC4"/>
    <w:lvl w:ilvl="0" w:tplc="211204F8">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4" w15:restartNumberingAfterBreak="0">
    <w:nsid w:val="7AE45891"/>
    <w:multiLevelType w:val="hybridMultilevel"/>
    <w:tmpl w:val="DDAA6068"/>
    <w:lvl w:ilvl="0" w:tplc="04090015">
      <w:start w:val="1"/>
      <w:numFmt w:val="upp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13"/>
  </w:num>
  <w:num w:numId="2">
    <w:abstractNumId w:val="16"/>
  </w:num>
  <w:num w:numId="3">
    <w:abstractNumId w:val="2"/>
  </w:num>
  <w:num w:numId="4">
    <w:abstractNumId w:val="24"/>
  </w:num>
  <w:num w:numId="5">
    <w:abstractNumId w:val="11"/>
  </w:num>
  <w:num w:numId="6">
    <w:abstractNumId w:val="18"/>
  </w:num>
  <w:num w:numId="7">
    <w:abstractNumId w:val="8"/>
  </w:num>
  <w:num w:numId="8">
    <w:abstractNumId w:val="6"/>
  </w:num>
  <w:num w:numId="9">
    <w:abstractNumId w:val="23"/>
  </w:num>
  <w:num w:numId="10">
    <w:abstractNumId w:val="21"/>
  </w:num>
  <w:num w:numId="11">
    <w:abstractNumId w:val="12"/>
  </w:num>
  <w:num w:numId="12">
    <w:abstractNumId w:val="10"/>
  </w:num>
  <w:num w:numId="13">
    <w:abstractNumId w:val="17"/>
  </w:num>
  <w:num w:numId="14">
    <w:abstractNumId w:val="20"/>
  </w:num>
  <w:num w:numId="15">
    <w:abstractNumId w:val="19"/>
  </w:num>
  <w:num w:numId="16">
    <w:abstractNumId w:val="22"/>
  </w:num>
  <w:num w:numId="17">
    <w:abstractNumId w:val="15"/>
  </w:num>
  <w:num w:numId="18">
    <w:abstractNumId w:val="14"/>
  </w:num>
  <w:num w:numId="19">
    <w:abstractNumId w:val="0"/>
  </w:num>
  <w:num w:numId="20">
    <w:abstractNumId w:val="7"/>
  </w:num>
  <w:num w:numId="21">
    <w:abstractNumId w:val="1"/>
  </w:num>
  <w:num w:numId="22">
    <w:abstractNumId w:val="4"/>
  </w:num>
  <w:num w:numId="23">
    <w:abstractNumId w:val="3"/>
  </w:num>
  <w:num w:numId="24">
    <w:abstractNumId w:val="9"/>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evenAndOddHeaders/>
  <w:drawingGridVerticalSpacing w:val="143"/>
  <w:displayHorizontalDrawingGridEvery w:val="0"/>
  <w:displayVerticalDrawingGridEvery w:val="2"/>
  <w:characterSpacingControl w:val="compressPunctuation"/>
  <w:noLineBreaksAfter w:lang="ja-JP" w:val="([{·‘“〈《「『【〔〖（．［｛￡￥"/>
  <w:noLineBreaksBefore w:lang="ja-JP" w:val="!),.:;?]}¨·ˇˉ―‖’”…∶、。〃々〉》」』】〕〗！＂＇），．：；？］｀｜｝～￠"/>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52F5"/>
    <w:rsid w:val="00006F68"/>
    <w:rsid w:val="000077EB"/>
    <w:rsid w:val="0001018C"/>
    <w:rsid w:val="000108F0"/>
    <w:rsid w:val="00014EE4"/>
    <w:rsid w:val="00036CFF"/>
    <w:rsid w:val="000468E9"/>
    <w:rsid w:val="00053126"/>
    <w:rsid w:val="0005321A"/>
    <w:rsid w:val="00070E04"/>
    <w:rsid w:val="000732E3"/>
    <w:rsid w:val="00074C8C"/>
    <w:rsid w:val="00077A5F"/>
    <w:rsid w:val="0008358D"/>
    <w:rsid w:val="00091DEA"/>
    <w:rsid w:val="000A2113"/>
    <w:rsid w:val="000B0E1E"/>
    <w:rsid w:val="000B3DBB"/>
    <w:rsid w:val="000B3FEE"/>
    <w:rsid w:val="000D3792"/>
    <w:rsid w:val="000D7CC2"/>
    <w:rsid w:val="000E019D"/>
    <w:rsid w:val="000E563B"/>
    <w:rsid w:val="000E5695"/>
    <w:rsid w:val="000F00CD"/>
    <w:rsid w:val="001063AB"/>
    <w:rsid w:val="00110AF2"/>
    <w:rsid w:val="00113127"/>
    <w:rsid w:val="00125107"/>
    <w:rsid w:val="00136B69"/>
    <w:rsid w:val="001420AA"/>
    <w:rsid w:val="00142288"/>
    <w:rsid w:val="00146D3D"/>
    <w:rsid w:val="001513C9"/>
    <w:rsid w:val="00151DED"/>
    <w:rsid w:val="00171C83"/>
    <w:rsid w:val="00172869"/>
    <w:rsid w:val="00182828"/>
    <w:rsid w:val="00186B09"/>
    <w:rsid w:val="001A0948"/>
    <w:rsid w:val="001A1FC2"/>
    <w:rsid w:val="001B6D01"/>
    <w:rsid w:val="001C53BD"/>
    <w:rsid w:val="001D271E"/>
    <w:rsid w:val="001E01D1"/>
    <w:rsid w:val="001F1E61"/>
    <w:rsid w:val="001F7597"/>
    <w:rsid w:val="002038F3"/>
    <w:rsid w:val="00211CE2"/>
    <w:rsid w:val="002126D9"/>
    <w:rsid w:val="00216786"/>
    <w:rsid w:val="00220807"/>
    <w:rsid w:val="00232B45"/>
    <w:rsid w:val="00235248"/>
    <w:rsid w:val="002362F8"/>
    <w:rsid w:val="002372FD"/>
    <w:rsid w:val="00251253"/>
    <w:rsid w:val="00252FC9"/>
    <w:rsid w:val="00260162"/>
    <w:rsid w:val="00262D7F"/>
    <w:rsid w:val="0026520D"/>
    <w:rsid w:val="002659B5"/>
    <w:rsid w:val="00265F73"/>
    <w:rsid w:val="00267EEC"/>
    <w:rsid w:val="002846AF"/>
    <w:rsid w:val="00296D12"/>
    <w:rsid w:val="002A170A"/>
    <w:rsid w:val="002B77BD"/>
    <w:rsid w:val="002C1AFD"/>
    <w:rsid w:val="002D1555"/>
    <w:rsid w:val="002D1EC1"/>
    <w:rsid w:val="002D68A9"/>
    <w:rsid w:val="002E302F"/>
    <w:rsid w:val="002F6E89"/>
    <w:rsid w:val="003004C7"/>
    <w:rsid w:val="0030246B"/>
    <w:rsid w:val="00304C79"/>
    <w:rsid w:val="0030636F"/>
    <w:rsid w:val="0032122D"/>
    <w:rsid w:val="003415CA"/>
    <w:rsid w:val="003529D3"/>
    <w:rsid w:val="00353F69"/>
    <w:rsid w:val="003601DC"/>
    <w:rsid w:val="00360FF0"/>
    <w:rsid w:val="00364B64"/>
    <w:rsid w:val="00365D69"/>
    <w:rsid w:val="003705B3"/>
    <w:rsid w:val="00372AB5"/>
    <w:rsid w:val="0038504D"/>
    <w:rsid w:val="0039116B"/>
    <w:rsid w:val="003933FF"/>
    <w:rsid w:val="003B655E"/>
    <w:rsid w:val="003C3659"/>
    <w:rsid w:val="003D03E5"/>
    <w:rsid w:val="003D1C29"/>
    <w:rsid w:val="003D291E"/>
    <w:rsid w:val="003D5438"/>
    <w:rsid w:val="003E0576"/>
    <w:rsid w:val="003E1858"/>
    <w:rsid w:val="003F70F0"/>
    <w:rsid w:val="00401EC8"/>
    <w:rsid w:val="00405F9C"/>
    <w:rsid w:val="00425563"/>
    <w:rsid w:val="00430AEC"/>
    <w:rsid w:val="004363E5"/>
    <w:rsid w:val="00451969"/>
    <w:rsid w:val="00461280"/>
    <w:rsid w:val="00466C19"/>
    <w:rsid w:val="00482A28"/>
    <w:rsid w:val="00487BF0"/>
    <w:rsid w:val="00494953"/>
    <w:rsid w:val="00497DD1"/>
    <w:rsid w:val="004A35E6"/>
    <w:rsid w:val="004A6DB4"/>
    <w:rsid w:val="004B2395"/>
    <w:rsid w:val="004B53B9"/>
    <w:rsid w:val="004C5D40"/>
    <w:rsid w:val="004E44FA"/>
    <w:rsid w:val="004F5139"/>
    <w:rsid w:val="005168A9"/>
    <w:rsid w:val="00520E19"/>
    <w:rsid w:val="00527037"/>
    <w:rsid w:val="0054456E"/>
    <w:rsid w:val="005448FD"/>
    <w:rsid w:val="00544BA1"/>
    <w:rsid w:val="00551464"/>
    <w:rsid w:val="00553A68"/>
    <w:rsid w:val="00555653"/>
    <w:rsid w:val="005559F9"/>
    <w:rsid w:val="00566F5E"/>
    <w:rsid w:val="00576727"/>
    <w:rsid w:val="00582AEE"/>
    <w:rsid w:val="00584ECD"/>
    <w:rsid w:val="005D0D89"/>
    <w:rsid w:val="005F31B7"/>
    <w:rsid w:val="005F5C19"/>
    <w:rsid w:val="005F737E"/>
    <w:rsid w:val="00600A8D"/>
    <w:rsid w:val="00601B8A"/>
    <w:rsid w:val="0060264C"/>
    <w:rsid w:val="0061357E"/>
    <w:rsid w:val="00620179"/>
    <w:rsid w:val="00661D23"/>
    <w:rsid w:val="00673EEF"/>
    <w:rsid w:val="00674D0C"/>
    <w:rsid w:val="00681D67"/>
    <w:rsid w:val="006971A3"/>
    <w:rsid w:val="006A7262"/>
    <w:rsid w:val="006B78D5"/>
    <w:rsid w:val="006C76B5"/>
    <w:rsid w:val="006E4FAE"/>
    <w:rsid w:val="00700697"/>
    <w:rsid w:val="0070491D"/>
    <w:rsid w:val="007103DA"/>
    <w:rsid w:val="0074259F"/>
    <w:rsid w:val="0074270C"/>
    <w:rsid w:val="0075303E"/>
    <w:rsid w:val="00760853"/>
    <w:rsid w:val="00762902"/>
    <w:rsid w:val="00773D72"/>
    <w:rsid w:val="007756F3"/>
    <w:rsid w:val="007821B4"/>
    <w:rsid w:val="00782383"/>
    <w:rsid w:val="00790C5F"/>
    <w:rsid w:val="007911CE"/>
    <w:rsid w:val="007A0F95"/>
    <w:rsid w:val="007A1B29"/>
    <w:rsid w:val="007B10C2"/>
    <w:rsid w:val="007B5726"/>
    <w:rsid w:val="007B7AEB"/>
    <w:rsid w:val="007C2949"/>
    <w:rsid w:val="007C5108"/>
    <w:rsid w:val="007D3494"/>
    <w:rsid w:val="007F538D"/>
    <w:rsid w:val="007F64B0"/>
    <w:rsid w:val="00813394"/>
    <w:rsid w:val="00820E04"/>
    <w:rsid w:val="00824E3F"/>
    <w:rsid w:val="008375E2"/>
    <w:rsid w:val="00846BC7"/>
    <w:rsid w:val="00846E82"/>
    <w:rsid w:val="00851895"/>
    <w:rsid w:val="008766DE"/>
    <w:rsid w:val="00883551"/>
    <w:rsid w:val="00883F7E"/>
    <w:rsid w:val="008A14DD"/>
    <w:rsid w:val="008C1316"/>
    <w:rsid w:val="008D546F"/>
    <w:rsid w:val="008D5836"/>
    <w:rsid w:val="008E54E4"/>
    <w:rsid w:val="008E5AB7"/>
    <w:rsid w:val="008F3986"/>
    <w:rsid w:val="0090017E"/>
    <w:rsid w:val="00903D2D"/>
    <w:rsid w:val="00905307"/>
    <w:rsid w:val="00907764"/>
    <w:rsid w:val="00912882"/>
    <w:rsid w:val="0091538D"/>
    <w:rsid w:val="00915EF4"/>
    <w:rsid w:val="009314C1"/>
    <w:rsid w:val="009369FF"/>
    <w:rsid w:val="00943E57"/>
    <w:rsid w:val="00963211"/>
    <w:rsid w:val="00964CC4"/>
    <w:rsid w:val="0097200E"/>
    <w:rsid w:val="00980441"/>
    <w:rsid w:val="00985716"/>
    <w:rsid w:val="0099793C"/>
    <w:rsid w:val="009B3EC8"/>
    <w:rsid w:val="009C24DE"/>
    <w:rsid w:val="009C2589"/>
    <w:rsid w:val="00A20308"/>
    <w:rsid w:val="00A2380A"/>
    <w:rsid w:val="00A24295"/>
    <w:rsid w:val="00A247D9"/>
    <w:rsid w:val="00A270BC"/>
    <w:rsid w:val="00A35573"/>
    <w:rsid w:val="00A53E80"/>
    <w:rsid w:val="00A61BF2"/>
    <w:rsid w:val="00A62ABE"/>
    <w:rsid w:val="00A70C41"/>
    <w:rsid w:val="00A73AE7"/>
    <w:rsid w:val="00A95FCE"/>
    <w:rsid w:val="00AA3D7B"/>
    <w:rsid w:val="00AA50BE"/>
    <w:rsid w:val="00AA6E1A"/>
    <w:rsid w:val="00AC3345"/>
    <w:rsid w:val="00AC6289"/>
    <w:rsid w:val="00AD025F"/>
    <w:rsid w:val="00AE0EE0"/>
    <w:rsid w:val="00AE5F6F"/>
    <w:rsid w:val="00AF4735"/>
    <w:rsid w:val="00B02A30"/>
    <w:rsid w:val="00B03D62"/>
    <w:rsid w:val="00B212F3"/>
    <w:rsid w:val="00B30058"/>
    <w:rsid w:val="00B33702"/>
    <w:rsid w:val="00B3482C"/>
    <w:rsid w:val="00B36CFF"/>
    <w:rsid w:val="00B43EE4"/>
    <w:rsid w:val="00B46FD7"/>
    <w:rsid w:val="00B530BE"/>
    <w:rsid w:val="00B547CF"/>
    <w:rsid w:val="00B66A6B"/>
    <w:rsid w:val="00B76C3C"/>
    <w:rsid w:val="00B77804"/>
    <w:rsid w:val="00B81432"/>
    <w:rsid w:val="00B9585D"/>
    <w:rsid w:val="00BA2DE0"/>
    <w:rsid w:val="00BA409E"/>
    <w:rsid w:val="00BB2F68"/>
    <w:rsid w:val="00BB3166"/>
    <w:rsid w:val="00BB4E51"/>
    <w:rsid w:val="00BC7909"/>
    <w:rsid w:val="00BF1EB6"/>
    <w:rsid w:val="00C03E20"/>
    <w:rsid w:val="00C166BD"/>
    <w:rsid w:val="00C16F0C"/>
    <w:rsid w:val="00C17709"/>
    <w:rsid w:val="00C20E19"/>
    <w:rsid w:val="00C23D0A"/>
    <w:rsid w:val="00C264E7"/>
    <w:rsid w:val="00C35035"/>
    <w:rsid w:val="00C42485"/>
    <w:rsid w:val="00C434A8"/>
    <w:rsid w:val="00C52EA9"/>
    <w:rsid w:val="00C53AAA"/>
    <w:rsid w:val="00C55B04"/>
    <w:rsid w:val="00C61607"/>
    <w:rsid w:val="00C6525A"/>
    <w:rsid w:val="00C7165D"/>
    <w:rsid w:val="00C74E38"/>
    <w:rsid w:val="00C947D8"/>
    <w:rsid w:val="00CA1C83"/>
    <w:rsid w:val="00CA4705"/>
    <w:rsid w:val="00CA718F"/>
    <w:rsid w:val="00CC1EFB"/>
    <w:rsid w:val="00CD453A"/>
    <w:rsid w:val="00CE3F1B"/>
    <w:rsid w:val="00D02FDC"/>
    <w:rsid w:val="00D13846"/>
    <w:rsid w:val="00D2298D"/>
    <w:rsid w:val="00D453F1"/>
    <w:rsid w:val="00D55977"/>
    <w:rsid w:val="00D6338D"/>
    <w:rsid w:val="00D6554E"/>
    <w:rsid w:val="00D66553"/>
    <w:rsid w:val="00D7468F"/>
    <w:rsid w:val="00D7500A"/>
    <w:rsid w:val="00D93B97"/>
    <w:rsid w:val="00DA11E2"/>
    <w:rsid w:val="00DB6CF7"/>
    <w:rsid w:val="00DC5CA3"/>
    <w:rsid w:val="00DE2927"/>
    <w:rsid w:val="00DE5BEA"/>
    <w:rsid w:val="00E15F37"/>
    <w:rsid w:val="00E215D6"/>
    <w:rsid w:val="00E262CD"/>
    <w:rsid w:val="00E4532E"/>
    <w:rsid w:val="00E75596"/>
    <w:rsid w:val="00E80B08"/>
    <w:rsid w:val="00E9246B"/>
    <w:rsid w:val="00E92499"/>
    <w:rsid w:val="00E9604B"/>
    <w:rsid w:val="00EB3A84"/>
    <w:rsid w:val="00EB5299"/>
    <w:rsid w:val="00EB6567"/>
    <w:rsid w:val="00EC2D28"/>
    <w:rsid w:val="00EC34AB"/>
    <w:rsid w:val="00EC386B"/>
    <w:rsid w:val="00ED1B90"/>
    <w:rsid w:val="00EE45E3"/>
    <w:rsid w:val="00EF4CCC"/>
    <w:rsid w:val="00F028EE"/>
    <w:rsid w:val="00F0449C"/>
    <w:rsid w:val="00F0662A"/>
    <w:rsid w:val="00F1048F"/>
    <w:rsid w:val="00F11E98"/>
    <w:rsid w:val="00F14ADE"/>
    <w:rsid w:val="00F169F2"/>
    <w:rsid w:val="00F21DAE"/>
    <w:rsid w:val="00F3056E"/>
    <w:rsid w:val="00F31544"/>
    <w:rsid w:val="00F36A52"/>
    <w:rsid w:val="00F407DC"/>
    <w:rsid w:val="00F4136A"/>
    <w:rsid w:val="00F41D0F"/>
    <w:rsid w:val="00F47BCA"/>
    <w:rsid w:val="00F5727E"/>
    <w:rsid w:val="00F63F59"/>
    <w:rsid w:val="00F73257"/>
    <w:rsid w:val="00F77DB8"/>
    <w:rsid w:val="00F804C0"/>
    <w:rsid w:val="00F941D0"/>
    <w:rsid w:val="00FA69A1"/>
    <w:rsid w:val="00FB3282"/>
    <w:rsid w:val="00FB5C89"/>
    <w:rsid w:val="00FC32E4"/>
    <w:rsid w:val="00FC38DB"/>
    <w:rsid w:val="00FC7A66"/>
    <w:rsid w:val="00FD7A12"/>
    <w:rsid w:val="00FE2BE5"/>
    <w:rsid w:val="00FF410C"/>
    <w:rsid w:val="00FF5CE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AF91DABB-51ED-4A2C-A2C1-43B221D2F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uiPriority="0" w:unhideWhenUsed="1"/>
    <w:lsdException w:name="caption" w:semiHidden="1" w:uiPriority="35" w:unhideWhenUsed="1" w:qFormat="1"/>
    <w:lsdException w:name="table of authorities" w:semiHidden="1" w:unhideWhenUsed="1"/>
    <w:lsdException w:name="List" w:semiHidden="1" w:unhideWhenUsed="1"/>
    <w:lsdException w:name="List Bullet" w:semiHidden="1" w:unhideWhenUsed="1"/>
    <w:lsdException w:name="Title" w:uiPriority="10" w:qFormat="1"/>
    <w:lsdException w:name="Default Paragraph Font" w:semiHidden="1" w:uiPriority="1" w:unhideWhenUsed="1"/>
    <w:lsdException w:name="Body Text"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11" w:qFormat="1"/>
    <w:lsdException w:name="Strong" w:uiPriority="22" w:qFormat="1"/>
    <w:lsdException w:name="Emphasis" w:uiPriority="20" w:qFormat="1"/>
    <w:lsdException w:name="Balloon Text" w:semiHidden="1" w:unhideWhenUsed="1"/>
    <w:lsdException w:name="Table Grid" w:uiPriority="5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kern w:val="2"/>
      <w:sz w:val="24"/>
      <w:lang w:val="en-US" w:eastAsia="zh-CN"/>
    </w:rPr>
  </w:style>
  <w:style w:type="paragraph" w:styleId="Heading1">
    <w:name w:val="heading 1"/>
    <w:basedOn w:val="Normal"/>
    <w:next w:val="Normal"/>
    <w:link w:val="Heading1Char"/>
    <w:uiPriority w:val="9"/>
    <w:qFormat/>
    <w:pPr>
      <w:keepNext/>
      <w:keepLines/>
      <w:spacing w:before="240" w:after="60"/>
      <w:outlineLvl w:val="0"/>
    </w:pPr>
    <w:rPr>
      <w:rFonts w:ascii="Arial" w:hAnsi="Arial"/>
      <w:b/>
      <w:kern w:val="44"/>
      <w:sz w:val="32"/>
    </w:rPr>
  </w:style>
  <w:style w:type="paragraph" w:styleId="Heading2">
    <w:name w:val="heading 2"/>
    <w:basedOn w:val="Normal"/>
    <w:next w:val="Normal"/>
    <w:link w:val="Heading2Char"/>
    <w:uiPriority w:val="9"/>
    <w:qFormat/>
    <w:pPr>
      <w:keepNext/>
      <w:keepLines/>
      <w:spacing w:before="240" w:after="60"/>
      <w:outlineLvl w:val="1"/>
    </w:pPr>
    <w:rPr>
      <w:rFonts w:ascii="Arial" w:hAnsi="Arial"/>
      <w:b/>
      <w:i/>
      <w:sz w:val="28"/>
    </w:rPr>
  </w:style>
  <w:style w:type="paragraph" w:styleId="Heading3">
    <w:name w:val="heading 3"/>
    <w:basedOn w:val="Normal"/>
    <w:next w:val="Normal"/>
    <w:link w:val="Heading3Char"/>
    <w:uiPriority w:val="9"/>
    <w:qFormat/>
    <w:pPr>
      <w:keepNext/>
      <w:keepLines/>
      <w:spacing w:before="240" w:after="60"/>
      <w:outlineLvl w:val="2"/>
    </w:pPr>
    <w:rPr>
      <w:rFonts w:ascii="Arial" w:hAnsi="Arial"/>
      <w:b/>
      <w:sz w:val="26"/>
    </w:rPr>
  </w:style>
  <w:style w:type="paragraph" w:styleId="Heading4">
    <w:name w:val="heading 4"/>
    <w:basedOn w:val="Normal"/>
    <w:next w:val="Normal"/>
    <w:link w:val="Heading4Char"/>
    <w:uiPriority w:val="9"/>
    <w:qFormat/>
    <w:pPr>
      <w:keepNext/>
      <w:keepLines/>
      <w:spacing w:before="240" w:after="60"/>
      <w:outlineLvl w:val="3"/>
    </w:pPr>
    <w:rPr>
      <w:b/>
      <w:sz w:val="28"/>
    </w:rPr>
  </w:style>
  <w:style w:type="paragraph" w:styleId="Heading5">
    <w:name w:val="heading 5"/>
    <w:basedOn w:val="Normal"/>
    <w:next w:val="Normal"/>
    <w:link w:val="Heading5Char"/>
    <w:uiPriority w:val="9"/>
    <w:qFormat/>
    <w:pPr>
      <w:keepNext/>
      <w:keepLines/>
      <w:spacing w:before="240" w:after="60"/>
      <w:outlineLvl w:val="4"/>
    </w:pPr>
    <w:rPr>
      <w:b/>
      <w:i/>
      <w:sz w:val="26"/>
    </w:rPr>
  </w:style>
  <w:style w:type="paragraph" w:styleId="Heading6">
    <w:name w:val="heading 6"/>
    <w:basedOn w:val="Normal"/>
    <w:next w:val="Normal"/>
    <w:link w:val="Heading6Char"/>
    <w:uiPriority w:val="9"/>
    <w:qFormat/>
    <w:pPr>
      <w:keepNext/>
      <w:keepLines/>
      <w:spacing w:before="240" w:after="60"/>
      <w:outlineLvl w:val="5"/>
    </w:pPr>
    <w:rPr>
      <w:b/>
      <w:sz w:val="22"/>
    </w:rPr>
  </w:style>
  <w:style w:type="paragraph" w:styleId="Heading7">
    <w:name w:val="heading 7"/>
    <w:basedOn w:val="Normal"/>
    <w:next w:val="Normal"/>
    <w:link w:val="Heading7Char"/>
    <w:uiPriority w:val="9"/>
    <w:qFormat/>
    <w:pPr>
      <w:keepNext/>
      <w:keepLines/>
      <w:spacing w:before="240" w:after="60"/>
      <w:outlineLvl w:val="6"/>
    </w:pPr>
  </w:style>
  <w:style w:type="paragraph" w:styleId="Heading8">
    <w:name w:val="heading 8"/>
    <w:basedOn w:val="Normal"/>
    <w:next w:val="Normal"/>
    <w:link w:val="Heading8Char"/>
    <w:uiPriority w:val="9"/>
    <w:qFormat/>
    <w:pPr>
      <w:keepNext/>
      <w:keepLines/>
      <w:spacing w:before="240" w:after="60"/>
      <w:outlineLvl w:val="7"/>
    </w:pPr>
    <w:rPr>
      <w:i/>
    </w:rPr>
  </w:style>
  <w:style w:type="paragraph" w:styleId="Heading9">
    <w:name w:val="heading 9"/>
    <w:basedOn w:val="Normal"/>
    <w:next w:val="Normal"/>
    <w:link w:val="Heading9Char"/>
    <w:uiPriority w:val="9"/>
    <w:qFormat/>
    <w:pPr>
      <w:keepNext/>
      <w:keepLines/>
      <w:spacing w:before="240" w:after="60"/>
      <w:outlineLvl w:val="8"/>
    </w:pPr>
    <w:rPr>
      <w:rFonts w:ascii="Arial" w:hAnsi="Arial"/>
      <w:sz w:val="22"/>
    </w:rPr>
  </w:style>
  <w:style w:type="character" w:default="1" w:styleId="DefaultParagraphFont">
    <w:name w:val="Default Paragraph Font"/>
    <w:uiPriority w:val="1"/>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en-US" w:eastAsia="zh-CN"/>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kern w:val="2"/>
      <w:sz w:val="28"/>
      <w:szCs w:val="28"/>
      <w:lang w:val="en-US" w:eastAsia="zh-CN"/>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kern w:val="2"/>
      <w:sz w:val="26"/>
      <w:szCs w:val="26"/>
      <w:lang w:val="en-US" w:eastAsia="zh-CN"/>
    </w:rPr>
  </w:style>
  <w:style w:type="character" w:customStyle="1" w:styleId="Heading4Char">
    <w:name w:val="Heading 4 Char"/>
    <w:basedOn w:val="DefaultParagraphFont"/>
    <w:link w:val="Heading4"/>
    <w:uiPriority w:val="9"/>
    <w:semiHidden/>
    <w:locked/>
    <w:rPr>
      <w:rFonts w:asciiTheme="minorHAnsi" w:eastAsiaTheme="minorEastAsia" w:hAnsiTheme="minorHAnsi" w:cs="Arial"/>
      <w:b/>
      <w:bCs/>
      <w:kern w:val="2"/>
      <w:sz w:val="28"/>
      <w:szCs w:val="28"/>
      <w:lang w:val="en-US" w:eastAsia="zh-CN"/>
    </w:rPr>
  </w:style>
  <w:style w:type="character" w:customStyle="1" w:styleId="Heading5Char">
    <w:name w:val="Heading 5 Char"/>
    <w:basedOn w:val="DefaultParagraphFont"/>
    <w:link w:val="Heading5"/>
    <w:uiPriority w:val="9"/>
    <w:semiHidden/>
    <w:locked/>
    <w:rPr>
      <w:rFonts w:asciiTheme="minorHAnsi" w:eastAsiaTheme="minorEastAsia" w:hAnsiTheme="minorHAnsi" w:cs="Arial"/>
      <w:b/>
      <w:bCs/>
      <w:i/>
      <w:iCs/>
      <w:kern w:val="2"/>
      <w:sz w:val="26"/>
      <w:szCs w:val="26"/>
      <w:lang w:val="en-US" w:eastAsia="zh-CN"/>
    </w:rPr>
  </w:style>
  <w:style w:type="character" w:customStyle="1" w:styleId="Heading6Char">
    <w:name w:val="Heading 6 Char"/>
    <w:basedOn w:val="DefaultParagraphFont"/>
    <w:link w:val="Heading6"/>
    <w:uiPriority w:val="9"/>
    <w:semiHidden/>
    <w:locked/>
    <w:rPr>
      <w:rFonts w:asciiTheme="minorHAnsi" w:eastAsiaTheme="minorEastAsia" w:hAnsiTheme="minorHAnsi" w:cs="Arial"/>
      <w:b/>
      <w:bCs/>
      <w:kern w:val="2"/>
      <w:sz w:val="22"/>
      <w:szCs w:val="22"/>
      <w:lang w:val="en-US" w:eastAsia="zh-CN"/>
    </w:rPr>
  </w:style>
  <w:style w:type="character" w:customStyle="1" w:styleId="Heading7Char">
    <w:name w:val="Heading 7 Char"/>
    <w:basedOn w:val="DefaultParagraphFont"/>
    <w:link w:val="Heading7"/>
    <w:uiPriority w:val="9"/>
    <w:semiHidden/>
    <w:locked/>
    <w:rPr>
      <w:rFonts w:asciiTheme="minorHAnsi" w:eastAsiaTheme="minorEastAsia" w:hAnsiTheme="minorHAnsi" w:cs="Arial"/>
      <w:kern w:val="2"/>
      <w:sz w:val="24"/>
      <w:szCs w:val="24"/>
      <w:lang w:val="en-US" w:eastAsia="zh-CN"/>
    </w:rPr>
  </w:style>
  <w:style w:type="character" w:customStyle="1" w:styleId="Heading8Char">
    <w:name w:val="Heading 8 Char"/>
    <w:basedOn w:val="DefaultParagraphFont"/>
    <w:link w:val="Heading8"/>
    <w:uiPriority w:val="9"/>
    <w:semiHidden/>
    <w:locked/>
    <w:rPr>
      <w:rFonts w:asciiTheme="minorHAnsi" w:eastAsiaTheme="minorEastAsia" w:hAnsiTheme="minorHAnsi" w:cs="Arial"/>
      <w:i/>
      <w:iCs/>
      <w:kern w:val="2"/>
      <w:sz w:val="24"/>
      <w:szCs w:val="24"/>
      <w:lang w:val="en-US" w:eastAsia="zh-CN"/>
    </w:rPr>
  </w:style>
  <w:style w:type="character" w:customStyle="1" w:styleId="Heading9Char">
    <w:name w:val="Heading 9 Char"/>
    <w:basedOn w:val="DefaultParagraphFont"/>
    <w:link w:val="Heading9"/>
    <w:uiPriority w:val="9"/>
    <w:semiHidden/>
    <w:locked/>
    <w:rPr>
      <w:rFonts w:asciiTheme="majorHAnsi" w:eastAsiaTheme="majorEastAsia" w:hAnsiTheme="majorHAnsi" w:cs="Times New Roman"/>
      <w:kern w:val="2"/>
      <w:sz w:val="22"/>
      <w:szCs w:val="22"/>
      <w:lang w:val="en-US" w:eastAsia="zh-CN"/>
    </w:rPr>
  </w:style>
  <w:style w:type="character" w:styleId="PageNumber">
    <w:name w:val="page number"/>
    <w:basedOn w:val="DefaultParagraphFont"/>
    <w:uiPriority w:val="99"/>
    <w:rPr>
      <w:rFonts w:cs="Times New Roman"/>
    </w:rPr>
  </w:style>
  <w:style w:type="character" w:customStyle="1" w:styleId="longtext">
    <w:name w:val="long_text"/>
    <w:basedOn w:val="DefaultParagraphFont"/>
    <w:rPr>
      <w:rFonts w:cs="Times New Roman"/>
    </w:rPr>
  </w:style>
  <w:style w:type="paragraph" w:styleId="Header">
    <w:name w:val="header"/>
    <w:basedOn w:val="Normal"/>
    <w:link w:val="HeaderChar"/>
    <w:uiPriority w:val="99"/>
    <w:pPr>
      <w:tabs>
        <w:tab w:val="center" w:pos="4153"/>
        <w:tab w:val="right" w:pos="8306"/>
      </w:tabs>
      <w:snapToGrid w:val="0"/>
    </w:pPr>
    <w:rPr>
      <w:sz w:val="18"/>
      <w:szCs w:val="18"/>
      <w:lang w:val="id-ID"/>
    </w:rPr>
  </w:style>
  <w:style w:type="character" w:customStyle="1" w:styleId="HeaderChar">
    <w:name w:val="Header Char"/>
    <w:basedOn w:val="DefaultParagraphFont"/>
    <w:link w:val="Header"/>
    <w:uiPriority w:val="99"/>
    <w:locked/>
    <w:rsid w:val="000D7CC2"/>
    <w:rPr>
      <w:rFonts w:cs="Times New Roman"/>
      <w:kern w:val="2"/>
      <w:sz w:val="18"/>
      <w:lang w:val="x-none" w:eastAsia="zh-CN"/>
    </w:rPr>
  </w:style>
  <w:style w:type="paragraph" w:styleId="Footer">
    <w:name w:val="footer"/>
    <w:basedOn w:val="Normal"/>
    <w:link w:val="FooterChar"/>
    <w:uiPriority w:val="99"/>
    <w:pPr>
      <w:tabs>
        <w:tab w:val="center" w:pos="4153"/>
        <w:tab w:val="right" w:pos="8306"/>
      </w:tabs>
      <w:snapToGrid w:val="0"/>
    </w:pPr>
    <w:rPr>
      <w:sz w:val="18"/>
      <w:szCs w:val="18"/>
      <w:lang w:val="id-ID"/>
    </w:rPr>
  </w:style>
  <w:style w:type="character" w:customStyle="1" w:styleId="FooterChar">
    <w:name w:val="Footer Char"/>
    <w:basedOn w:val="DefaultParagraphFont"/>
    <w:link w:val="Footer"/>
    <w:uiPriority w:val="99"/>
    <w:locked/>
    <w:rsid w:val="007F538D"/>
    <w:rPr>
      <w:rFonts w:cs="Times New Roman"/>
      <w:kern w:val="2"/>
      <w:sz w:val="18"/>
      <w:lang w:val="x-none" w:eastAsia="zh-CN"/>
    </w:rPr>
  </w:style>
  <w:style w:type="paragraph" w:customStyle="1" w:styleId="NormalWebCharChar">
    <w:name w:val="Normal (Web) Char Char"/>
    <w:basedOn w:val="Normal"/>
    <w:pPr>
      <w:spacing w:before="100" w:beforeAutospacing="1" w:after="100" w:afterAutospacing="1"/>
    </w:pPr>
    <w:rPr>
      <w:szCs w:val="24"/>
    </w:rPr>
  </w:style>
  <w:style w:type="paragraph" w:styleId="ListParagraph">
    <w:name w:val="List Paragraph"/>
    <w:aliases w:val="Body of text"/>
    <w:basedOn w:val="Normal"/>
    <w:link w:val="ListParagraphChar"/>
    <w:uiPriority w:val="34"/>
    <w:qFormat/>
    <w:pPr>
      <w:ind w:left="720"/>
      <w:contextualSpacing/>
    </w:pPr>
  </w:style>
  <w:style w:type="paragraph" w:styleId="NoSpacing">
    <w:name w:val="No Spacing"/>
    <w:basedOn w:val="Normal"/>
    <w:uiPriority w:val="99"/>
    <w:qFormat/>
    <w:rsid w:val="00BA409E"/>
    <w:pPr>
      <w:widowControl/>
    </w:pPr>
    <w:rPr>
      <w:rFonts w:ascii="Calibri" w:hAnsi="Calibri" w:cs="Calibri"/>
      <w:kern w:val="0"/>
      <w:sz w:val="22"/>
      <w:szCs w:val="22"/>
      <w:lang w:eastAsia="en-US"/>
    </w:rPr>
  </w:style>
  <w:style w:type="character" w:styleId="Hyperlink">
    <w:name w:val="Hyperlink"/>
    <w:basedOn w:val="DefaultParagraphFont"/>
    <w:uiPriority w:val="99"/>
    <w:unhideWhenUsed/>
    <w:rsid w:val="00820E04"/>
    <w:rPr>
      <w:rFonts w:cs="Times New Roman"/>
      <w:color w:val="0000FF"/>
      <w:u w:val="single"/>
    </w:rPr>
  </w:style>
  <w:style w:type="character" w:customStyle="1" w:styleId="shorttext">
    <w:name w:val="short_text"/>
    <w:rsid w:val="002126D9"/>
  </w:style>
  <w:style w:type="paragraph" w:styleId="FootnoteText">
    <w:name w:val="footnote text"/>
    <w:aliases w:val="Char Char,Char"/>
    <w:basedOn w:val="Normal"/>
    <w:link w:val="FootnoteTextChar"/>
    <w:uiPriority w:val="99"/>
    <w:unhideWhenUsed/>
    <w:rsid w:val="002126D9"/>
    <w:pPr>
      <w:widowControl/>
    </w:pPr>
    <w:rPr>
      <w:rFonts w:ascii="Calibri" w:hAnsi="Calibri"/>
      <w:kern w:val="0"/>
      <w:sz w:val="20"/>
      <w:lang w:eastAsia="en-US"/>
    </w:rPr>
  </w:style>
  <w:style w:type="character" w:customStyle="1" w:styleId="FootnoteTextChar">
    <w:name w:val="Footnote Text Char"/>
    <w:aliases w:val="Char Char Char,Char Char1"/>
    <w:basedOn w:val="DefaultParagraphFont"/>
    <w:link w:val="FootnoteText"/>
    <w:uiPriority w:val="99"/>
    <w:qFormat/>
    <w:locked/>
    <w:rsid w:val="002126D9"/>
    <w:rPr>
      <w:rFonts w:ascii="Calibri" w:hAnsi="Calibri" w:cs="Times New Roman"/>
    </w:rPr>
  </w:style>
  <w:style w:type="table" w:styleId="LightShading">
    <w:name w:val="Light Shading"/>
    <w:basedOn w:val="TableNormal"/>
    <w:uiPriority w:val="60"/>
    <w:rsid w:val="002126D9"/>
    <w:rPr>
      <w:rFonts w:ascii="Calibri" w:hAnsi="Calibri" w:cs="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Calibri"/>
        <w:b/>
        <w:bCs/>
      </w:rPr>
      <w:tblPr/>
      <w:tcPr>
        <w:tcBorders>
          <w:top w:val="single" w:sz="8" w:space="0" w:color="000000"/>
          <w:left w:val="nil"/>
          <w:bottom w:val="single" w:sz="8" w:space="0" w:color="000000"/>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C0C0C0"/>
      </w:tcPr>
    </w:tblStylePr>
    <w:tblStylePr w:type="band1Horz">
      <w:rPr>
        <w:rFonts w:cs="Calibri"/>
      </w:rPr>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0D379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kern w:val="0"/>
      <w:sz w:val="20"/>
      <w:lang w:eastAsia="en-US"/>
    </w:rPr>
  </w:style>
  <w:style w:type="character" w:customStyle="1" w:styleId="HTMLPreformattedChar">
    <w:name w:val="HTML Preformatted Char"/>
    <w:basedOn w:val="DefaultParagraphFont"/>
    <w:link w:val="HTMLPreformatted"/>
    <w:uiPriority w:val="99"/>
    <w:locked/>
    <w:rsid w:val="000D3792"/>
    <w:rPr>
      <w:rFonts w:ascii="Courier New" w:hAnsi="Courier New" w:cs="Times New Roman"/>
    </w:rPr>
  </w:style>
  <w:style w:type="paragraph" w:styleId="BodyText">
    <w:name w:val="Body Text"/>
    <w:basedOn w:val="Normal"/>
    <w:link w:val="BodyTextChar"/>
    <w:uiPriority w:val="99"/>
    <w:rsid w:val="00F4136A"/>
    <w:pPr>
      <w:widowControl/>
      <w:spacing w:line="360" w:lineRule="auto"/>
      <w:ind w:firstLine="289"/>
      <w:jc w:val="both"/>
    </w:pPr>
    <w:rPr>
      <w:spacing w:val="-1"/>
      <w:kern w:val="0"/>
      <w:sz w:val="20"/>
      <w:lang w:eastAsia="en-US"/>
    </w:rPr>
  </w:style>
  <w:style w:type="character" w:customStyle="1" w:styleId="BodyTextChar">
    <w:name w:val="Body Text Char"/>
    <w:basedOn w:val="DefaultParagraphFont"/>
    <w:link w:val="BodyText"/>
    <w:uiPriority w:val="99"/>
    <w:locked/>
    <w:rsid w:val="00F4136A"/>
    <w:rPr>
      <w:rFonts w:cs="Times New Roman"/>
    </w:rPr>
  </w:style>
  <w:style w:type="paragraph" w:styleId="BodyText2">
    <w:name w:val="Body Text 2"/>
    <w:basedOn w:val="Normal"/>
    <w:link w:val="BodyText2Char"/>
    <w:uiPriority w:val="99"/>
    <w:semiHidden/>
    <w:unhideWhenUsed/>
    <w:rsid w:val="00DB6CF7"/>
    <w:pPr>
      <w:spacing w:after="120" w:line="480" w:lineRule="auto"/>
    </w:pPr>
  </w:style>
  <w:style w:type="character" w:customStyle="1" w:styleId="BodyText2Char">
    <w:name w:val="Body Text 2 Char"/>
    <w:basedOn w:val="DefaultParagraphFont"/>
    <w:link w:val="BodyText2"/>
    <w:uiPriority w:val="99"/>
    <w:semiHidden/>
    <w:locked/>
    <w:rsid w:val="00DB6CF7"/>
    <w:rPr>
      <w:rFonts w:cs="Times New Roman"/>
      <w:kern w:val="2"/>
      <w:sz w:val="24"/>
      <w:lang w:val="x-none" w:eastAsia="zh-CN"/>
    </w:rPr>
  </w:style>
  <w:style w:type="table" w:styleId="TableGrid">
    <w:name w:val="Table Grid"/>
    <w:basedOn w:val="TableNormal"/>
    <w:uiPriority w:val="59"/>
    <w:rsid w:val="002E302F"/>
    <w:rPr>
      <w:rFonts w:ascii="Calibri" w:hAnsi="Calibri" w:cs="Calibr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ibliography">
    <w:name w:val="Bibliography"/>
    <w:basedOn w:val="Normal"/>
    <w:next w:val="Normal"/>
    <w:uiPriority w:val="37"/>
    <w:semiHidden/>
    <w:unhideWhenUsed/>
    <w:rsid w:val="007D3494"/>
  </w:style>
  <w:style w:type="character" w:customStyle="1" w:styleId="ListParagraphChar">
    <w:name w:val="List Paragraph Char"/>
    <w:aliases w:val="Body of text Char"/>
    <w:link w:val="ListParagraph"/>
    <w:uiPriority w:val="34"/>
    <w:locked/>
    <w:rsid w:val="00B36CFF"/>
    <w:rPr>
      <w:kern w:val="2"/>
      <w:sz w:val="24"/>
      <w:lang w:val="en-US" w:eastAsia="zh-CN"/>
    </w:rPr>
  </w:style>
  <w:style w:type="paragraph" w:customStyle="1" w:styleId="ListParagraph1">
    <w:name w:val="List Paragraph1"/>
    <w:basedOn w:val="Normal"/>
    <w:uiPriority w:val="34"/>
    <w:qFormat/>
    <w:rsid w:val="00BB2F68"/>
    <w:pPr>
      <w:widowControl/>
      <w:spacing w:after="200" w:line="276" w:lineRule="auto"/>
      <w:ind w:left="720"/>
      <w:contextualSpacing/>
    </w:pPr>
    <w:rPr>
      <w:rFonts w:ascii="Calibri" w:hAnsi="Calibri"/>
      <w:kern w:val="0"/>
      <w:sz w:val="22"/>
      <w:szCs w:val="22"/>
      <w:lang w:eastAsia="en-US"/>
    </w:rPr>
  </w:style>
  <w:style w:type="character" w:customStyle="1" w:styleId="A3">
    <w:name w:val="A3"/>
    <w:uiPriority w:val="99"/>
    <w:rsid w:val="00C03E20"/>
    <w:rPr>
      <w:color w:val="000000"/>
      <w:sz w:val="21"/>
    </w:rPr>
  </w:style>
  <w:style w:type="character" w:customStyle="1" w:styleId="hps">
    <w:name w:val="hps"/>
    <w:rsid w:val="00401EC8"/>
  </w:style>
  <w:style w:type="paragraph" w:customStyle="1" w:styleId="Stylepapertitle14pt">
    <w:name w:val="Style paper title + 14 pt"/>
    <w:basedOn w:val="Normal"/>
    <w:qFormat/>
    <w:rsid w:val="00494953"/>
    <w:pPr>
      <w:widowControl/>
      <w:spacing w:after="120"/>
    </w:pPr>
    <w:rPr>
      <w:rFonts w:eastAsia="MS Mincho"/>
      <w:kern w:val="0"/>
      <w:szCs w:val="48"/>
      <w:lang w:val="zh-CN"/>
    </w:rPr>
  </w:style>
  <w:style w:type="character" w:styleId="UnresolvedMention">
    <w:name w:val="Unresolved Mention"/>
    <w:basedOn w:val="DefaultParagraphFont"/>
    <w:uiPriority w:val="99"/>
    <w:semiHidden/>
    <w:unhideWhenUsed/>
    <w:rsid w:val="00782383"/>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3082023">
      <w:marLeft w:val="0"/>
      <w:marRight w:val="0"/>
      <w:marTop w:val="0"/>
      <w:marBottom w:val="0"/>
      <w:divBdr>
        <w:top w:val="none" w:sz="0" w:space="0" w:color="auto"/>
        <w:left w:val="none" w:sz="0" w:space="0" w:color="auto"/>
        <w:bottom w:val="none" w:sz="0" w:space="0" w:color="auto"/>
        <w:right w:val="none" w:sz="0" w:space="0" w:color="auto"/>
      </w:divBdr>
    </w:div>
    <w:div w:id="1233082024">
      <w:marLeft w:val="0"/>
      <w:marRight w:val="0"/>
      <w:marTop w:val="0"/>
      <w:marBottom w:val="0"/>
      <w:divBdr>
        <w:top w:val="none" w:sz="0" w:space="0" w:color="auto"/>
        <w:left w:val="none" w:sz="0" w:space="0" w:color="auto"/>
        <w:bottom w:val="none" w:sz="0" w:space="0" w:color="auto"/>
        <w:right w:val="none" w:sz="0" w:space="0" w:color="auto"/>
      </w:divBdr>
    </w:div>
    <w:div w:id="1233082028">
      <w:marLeft w:val="0"/>
      <w:marRight w:val="0"/>
      <w:marTop w:val="0"/>
      <w:marBottom w:val="0"/>
      <w:divBdr>
        <w:top w:val="none" w:sz="0" w:space="0" w:color="auto"/>
        <w:left w:val="none" w:sz="0" w:space="0" w:color="auto"/>
        <w:bottom w:val="none" w:sz="0" w:space="0" w:color="auto"/>
        <w:right w:val="none" w:sz="0" w:space="0" w:color="auto"/>
      </w:divBdr>
      <w:divsChild>
        <w:div w:id="1233082020">
          <w:marLeft w:val="0"/>
          <w:marRight w:val="0"/>
          <w:marTop w:val="0"/>
          <w:marBottom w:val="0"/>
          <w:divBdr>
            <w:top w:val="none" w:sz="0" w:space="0" w:color="auto"/>
            <w:left w:val="none" w:sz="0" w:space="0" w:color="auto"/>
            <w:bottom w:val="none" w:sz="0" w:space="0" w:color="auto"/>
            <w:right w:val="none" w:sz="0" w:space="0" w:color="auto"/>
          </w:divBdr>
          <w:divsChild>
            <w:div w:id="1233082030">
              <w:marLeft w:val="0"/>
              <w:marRight w:val="0"/>
              <w:marTop w:val="0"/>
              <w:marBottom w:val="0"/>
              <w:divBdr>
                <w:top w:val="none" w:sz="0" w:space="0" w:color="auto"/>
                <w:left w:val="none" w:sz="0" w:space="0" w:color="auto"/>
                <w:bottom w:val="none" w:sz="0" w:space="0" w:color="auto"/>
                <w:right w:val="none" w:sz="0" w:space="0" w:color="auto"/>
              </w:divBdr>
              <w:divsChild>
                <w:div w:id="1233082035">
                  <w:marLeft w:val="0"/>
                  <w:marRight w:val="0"/>
                  <w:marTop w:val="0"/>
                  <w:marBottom w:val="0"/>
                  <w:divBdr>
                    <w:top w:val="none" w:sz="0" w:space="0" w:color="auto"/>
                    <w:left w:val="none" w:sz="0" w:space="0" w:color="auto"/>
                    <w:bottom w:val="none" w:sz="0" w:space="0" w:color="auto"/>
                    <w:right w:val="none" w:sz="0" w:space="0" w:color="auto"/>
                  </w:divBdr>
                  <w:divsChild>
                    <w:div w:id="1233082049">
                      <w:marLeft w:val="0"/>
                      <w:marRight w:val="0"/>
                      <w:marTop w:val="0"/>
                      <w:marBottom w:val="0"/>
                      <w:divBdr>
                        <w:top w:val="none" w:sz="0" w:space="0" w:color="auto"/>
                        <w:left w:val="none" w:sz="0" w:space="0" w:color="auto"/>
                        <w:bottom w:val="none" w:sz="0" w:space="0" w:color="auto"/>
                        <w:right w:val="none" w:sz="0" w:space="0" w:color="auto"/>
                      </w:divBdr>
                      <w:divsChild>
                        <w:div w:id="1233082045">
                          <w:marLeft w:val="0"/>
                          <w:marRight w:val="0"/>
                          <w:marTop w:val="0"/>
                          <w:marBottom w:val="0"/>
                          <w:divBdr>
                            <w:top w:val="none" w:sz="0" w:space="0" w:color="auto"/>
                            <w:left w:val="none" w:sz="0" w:space="0" w:color="auto"/>
                            <w:bottom w:val="none" w:sz="0" w:space="0" w:color="auto"/>
                            <w:right w:val="none" w:sz="0" w:space="0" w:color="auto"/>
                          </w:divBdr>
                        </w:div>
                        <w:div w:id="1233082051">
                          <w:marLeft w:val="0"/>
                          <w:marRight w:val="0"/>
                          <w:marTop w:val="0"/>
                          <w:marBottom w:val="0"/>
                          <w:divBdr>
                            <w:top w:val="none" w:sz="0" w:space="0" w:color="auto"/>
                            <w:left w:val="none" w:sz="0" w:space="0" w:color="auto"/>
                            <w:bottom w:val="none" w:sz="0" w:space="0" w:color="auto"/>
                            <w:right w:val="none" w:sz="0" w:space="0" w:color="auto"/>
                          </w:divBdr>
                          <w:divsChild>
                            <w:div w:id="1233082053">
                              <w:marLeft w:val="0"/>
                              <w:marRight w:val="300"/>
                              <w:marTop w:val="180"/>
                              <w:marBottom w:val="0"/>
                              <w:divBdr>
                                <w:top w:val="none" w:sz="0" w:space="0" w:color="auto"/>
                                <w:left w:val="none" w:sz="0" w:space="0" w:color="auto"/>
                                <w:bottom w:val="none" w:sz="0" w:space="0" w:color="auto"/>
                                <w:right w:val="none" w:sz="0" w:space="0" w:color="auto"/>
                              </w:divBdr>
                              <w:divsChild>
                                <w:div w:id="123308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82050">
          <w:marLeft w:val="0"/>
          <w:marRight w:val="0"/>
          <w:marTop w:val="0"/>
          <w:marBottom w:val="0"/>
          <w:divBdr>
            <w:top w:val="none" w:sz="0" w:space="0" w:color="auto"/>
            <w:left w:val="none" w:sz="0" w:space="0" w:color="auto"/>
            <w:bottom w:val="none" w:sz="0" w:space="0" w:color="auto"/>
            <w:right w:val="none" w:sz="0" w:space="0" w:color="auto"/>
          </w:divBdr>
          <w:divsChild>
            <w:div w:id="1233082048">
              <w:marLeft w:val="0"/>
              <w:marRight w:val="0"/>
              <w:marTop w:val="0"/>
              <w:marBottom w:val="0"/>
              <w:divBdr>
                <w:top w:val="none" w:sz="0" w:space="0" w:color="auto"/>
                <w:left w:val="none" w:sz="0" w:space="0" w:color="auto"/>
                <w:bottom w:val="none" w:sz="0" w:space="0" w:color="auto"/>
                <w:right w:val="none" w:sz="0" w:space="0" w:color="auto"/>
              </w:divBdr>
              <w:divsChild>
                <w:div w:id="1233082038">
                  <w:marLeft w:val="0"/>
                  <w:marRight w:val="0"/>
                  <w:marTop w:val="0"/>
                  <w:marBottom w:val="0"/>
                  <w:divBdr>
                    <w:top w:val="none" w:sz="0" w:space="0" w:color="auto"/>
                    <w:left w:val="none" w:sz="0" w:space="0" w:color="auto"/>
                    <w:bottom w:val="none" w:sz="0" w:space="0" w:color="auto"/>
                    <w:right w:val="none" w:sz="0" w:space="0" w:color="auto"/>
                  </w:divBdr>
                  <w:divsChild>
                    <w:div w:id="1233082041">
                      <w:marLeft w:val="0"/>
                      <w:marRight w:val="0"/>
                      <w:marTop w:val="0"/>
                      <w:marBottom w:val="0"/>
                      <w:divBdr>
                        <w:top w:val="none" w:sz="0" w:space="0" w:color="auto"/>
                        <w:left w:val="none" w:sz="0" w:space="0" w:color="auto"/>
                        <w:bottom w:val="none" w:sz="0" w:space="0" w:color="auto"/>
                        <w:right w:val="none" w:sz="0" w:space="0" w:color="auto"/>
                      </w:divBdr>
                      <w:divsChild>
                        <w:div w:id="12330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3082029">
      <w:marLeft w:val="0"/>
      <w:marRight w:val="0"/>
      <w:marTop w:val="0"/>
      <w:marBottom w:val="0"/>
      <w:divBdr>
        <w:top w:val="none" w:sz="0" w:space="0" w:color="auto"/>
        <w:left w:val="none" w:sz="0" w:space="0" w:color="auto"/>
        <w:bottom w:val="none" w:sz="0" w:space="0" w:color="auto"/>
        <w:right w:val="none" w:sz="0" w:space="0" w:color="auto"/>
      </w:divBdr>
    </w:div>
    <w:div w:id="1233082032">
      <w:marLeft w:val="0"/>
      <w:marRight w:val="0"/>
      <w:marTop w:val="0"/>
      <w:marBottom w:val="0"/>
      <w:divBdr>
        <w:top w:val="none" w:sz="0" w:space="0" w:color="auto"/>
        <w:left w:val="none" w:sz="0" w:space="0" w:color="auto"/>
        <w:bottom w:val="none" w:sz="0" w:space="0" w:color="auto"/>
        <w:right w:val="none" w:sz="0" w:space="0" w:color="auto"/>
      </w:divBdr>
    </w:div>
    <w:div w:id="1233082040">
      <w:marLeft w:val="0"/>
      <w:marRight w:val="0"/>
      <w:marTop w:val="0"/>
      <w:marBottom w:val="0"/>
      <w:divBdr>
        <w:top w:val="none" w:sz="0" w:space="0" w:color="auto"/>
        <w:left w:val="none" w:sz="0" w:space="0" w:color="auto"/>
        <w:bottom w:val="none" w:sz="0" w:space="0" w:color="auto"/>
        <w:right w:val="none" w:sz="0" w:space="0" w:color="auto"/>
      </w:divBdr>
    </w:div>
    <w:div w:id="1233082042">
      <w:marLeft w:val="0"/>
      <w:marRight w:val="0"/>
      <w:marTop w:val="0"/>
      <w:marBottom w:val="0"/>
      <w:divBdr>
        <w:top w:val="none" w:sz="0" w:space="0" w:color="auto"/>
        <w:left w:val="none" w:sz="0" w:space="0" w:color="auto"/>
        <w:bottom w:val="none" w:sz="0" w:space="0" w:color="auto"/>
        <w:right w:val="none" w:sz="0" w:space="0" w:color="auto"/>
      </w:divBdr>
      <w:divsChild>
        <w:div w:id="1233082034">
          <w:marLeft w:val="0"/>
          <w:marRight w:val="0"/>
          <w:marTop w:val="0"/>
          <w:marBottom w:val="0"/>
          <w:divBdr>
            <w:top w:val="none" w:sz="0" w:space="0" w:color="auto"/>
            <w:left w:val="none" w:sz="0" w:space="0" w:color="auto"/>
            <w:bottom w:val="none" w:sz="0" w:space="0" w:color="auto"/>
            <w:right w:val="none" w:sz="0" w:space="0" w:color="auto"/>
          </w:divBdr>
          <w:divsChild>
            <w:div w:id="1233082021">
              <w:marLeft w:val="0"/>
              <w:marRight w:val="0"/>
              <w:marTop w:val="0"/>
              <w:marBottom w:val="0"/>
              <w:divBdr>
                <w:top w:val="none" w:sz="0" w:space="0" w:color="auto"/>
                <w:left w:val="none" w:sz="0" w:space="0" w:color="auto"/>
                <w:bottom w:val="none" w:sz="0" w:space="0" w:color="auto"/>
                <w:right w:val="none" w:sz="0" w:space="0" w:color="auto"/>
              </w:divBdr>
              <w:divsChild>
                <w:div w:id="1233082039">
                  <w:marLeft w:val="0"/>
                  <w:marRight w:val="0"/>
                  <w:marTop w:val="0"/>
                  <w:marBottom w:val="0"/>
                  <w:divBdr>
                    <w:top w:val="none" w:sz="0" w:space="0" w:color="auto"/>
                    <w:left w:val="none" w:sz="0" w:space="0" w:color="auto"/>
                    <w:bottom w:val="none" w:sz="0" w:space="0" w:color="auto"/>
                    <w:right w:val="none" w:sz="0" w:space="0" w:color="auto"/>
                  </w:divBdr>
                  <w:divsChild>
                    <w:div w:id="1233082025">
                      <w:marLeft w:val="0"/>
                      <w:marRight w:val="0"/>
                      <w:marTop w:val="0"/>
                      <w:marBottom w:val="0"/>
                      <w:divBdr>
                        <w:top w:val="none" w:sz="0" w:space="0" w:color="auto"/>
                        <w:left w:val="none" w:sz="0" w:space="0" w:color="auto"/>
                        <w:bottom w:val="none" w:sz="0" w:space="0" w:color="auto"/>
                        <w:right w:val="none" w:sz="0" w:space="0" w:color="auto"/>
                      </w:divBdr>
                      <w:divsChild>
                        <w:div w:id="123308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082044">
          <w:marLeft w:val="0"/>
          <w:marRight w:val="0"/>
          <w:marTop w:val="0"/>
          <w:marBottom w:val="0"/>
          <w:divBdr>
            <w:top w:val="none" w:sz="0" w:space="0" w:color="auto"/>
            <w:left w:val="none" w:sz="0" w:space="0" w:color="auto"/>
            <w:bottom w:val="none" w:sz="0" w:space="0" w:color="auto"/>
            <w:right w:val="none" w:sz="0" w:space="0" w:color="auto"/>
          </w:divBdr>
          <w:divsChild>
            <w:div w:id="1233082031">
              <w:marLeft w:val="0"/>
              <w:marRight w:val="0"/>
              <w:marTop w:val="0"/>
              <w:marBottom w:val="0"/>
              <w:divBdr>
                <w:top w:val="none" w:sz="0" w:space="0" w:color="auto"/>
                <w:left w:val="none" w:sz="0" w:space="0" w:color="auto"/>
                <w:bottom w:val="none" w:sz="0" w:space="0" w:color="auto"/>
                <w:right w:val="none" w:sz="0" w:space="0" w:color="auto"/>
              </w:divBdr>
              <w:divsChild>
                <w:div w:id="1233082022">
                  <w:marLeft w:val="0"/>
                  <w:marRight w:val="0"/>
                  <w:marTop w:val="0"/>
                  <w:marBottom w:val="0"/>
                  <w:divBdr>
                    <w:top w:val="none" w:sz="0" w:space="0" w:color="auto"/>
                    <w:left w:val="none" w:sz="0" w:space="0" w:color="auto"/>
                    <w:bottom w:val="none" w:sz="0" w:space="0" w:color="auto"/>
                    <w:right w:val="none" w:sz="0" w:space="0" w:color="auto"/>
                  </w:divBdr>
                  <w:divsChild>
                    <w:div w:id="1233082027">
                      <w:marLeft w:val="0"/>
                      <w:marRight w:val="0"/>
                      <w:marTop w:val="0"/>
                      <w:marBottom w:val="0"/>
                      <w:divBdr>
                        <w:top w:val="none" w:sz="0" w:space="0" w:color="auto"/>
                        <w:left w:val="none" w:sz="0" w:space="0" w:color="auto"/>
                        <w:bottom w:val="none" w:sz="0" w:space="0" w:color="auto"/>
                        <w:right w:val="none" w:sz="0" w:space="0" w:color="auto"/>
                      </w:divBdr>
                      <w:divsChild>
                        <w:div w:id="1233082026">
                          <w:marLeft w:val="0"/>
                          <w:marRight w:val="0"/>
                          <w:marTop w:val="0"/>
                          <w:marBottom w:val="0"/>
                          <w:divBdr>
                            <w:top w:val="none" w:sz="0" w:space="0" w:color="auto"/>
                            <w:left w:val="none" w:sz="0" w:space="0" w:color="auto"/>
                            <w:bottom w:val="none" w:sz="0" w:space="0" w:color="auto"/>
                            <w:right w:val="none" w:sz="0" w:space="0" w:color="auto"/>
                          </w:divBdr>
                          <w:divsChild>
                            <w:div w:id="1233082037">
                              <w:marLeft w:val="0"/>
                              <w:marRight w:val="300"/>
                              <w:marTop w:val="180"/>
                              <w:marBottom w:val="0"/>
                              <w:divBdr>
                                <w:top w:val="none" w:sz="0" w:space="0" w:color="auto"/>
                                <w:left w:val="none" w:sz="0" w:space="0" w:color="auto"/>
                                <w:bottom w:val="none" w:sz="0" w:space="0" w:color="auto"/>
                                <w:right w:val="none" w:sz="0" w:space="0" w:color="auto"/>
                              </w:divBdr>
                              <w:divsChild>
                                <w:div w:id="12330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3082046">
      <w:marLeft w:val="0"/>
      <w:marRight w:val="0"/>
      <w:marTop w:val="0"/>
      <w:marBottom w:val="0"/>
      <w:divBdr>
        <w:top w:val="none" w:sz="0" w:space="0" w:color="auto"/>
        <w:left w:val="none" w:sz="0" w:space="0" w:color="auto"/>
        <w:bottom w:val="none" w:sz="0" w:space="0" w:color="auto"/>
        <w:right w:val="none" w:sz="0" w:space="0" w:color="auto"/>
      </w:divBdr>
    </w:div>
    <w:div w:id="1233082047">
      <w:marLeft w:val="0"/>
      <w:marRight w:val="0"/>
      <w:marTop w:val="0"/>
      <w:marBottom w:val="0"/>
      <w:divBdr>
        <w:top w:val="none" w:sz="0" w:space="0" w:color="auto"/>
        <w:left w:val="none" w:sz="0" w:space="0" w:color="auto"/>
        <w:bottom w:val="none" w:sz="0" w:space="0" w:color="auto"/>
        <w:right w:val="none" w:sz="0" w:space="0" w:color="auto"/>
      </w:divBdr>
    </w:div>
    <w:div w:id="123308205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CF7DD-4EFC-4AB5-9EC7-CAE714CCF2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1</TotalTime>
  <Pages>15</Pages>
  <Words>8938</Words>
  <Characters>50947</Characters>
  <Application>Microsoft Office Word</Application>
  <DocSecurity>0</DocSecurity>
  <Lines>424</Lines>
  <Paragraphs>119</Paragraphs>
  <ScaleCrop>false</ScaleCrop>
  <Company/>
  <LinksUpToDate>false</LinksUpToDate>
  <CharactersWithSpaces>59766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Konsep dan Strategi Evaluasi Program Pendidikan</dc:title>
  <dc:subject/>
  <dc:creator>user</dc:creator>
  <cp:keywords/>
  <dc:description/>
  <cp:lastModifiedBy>ASUS</cp:lastModifiedBy>
  <cp:revision>2</cp:revision>
  <cp:lastPrinted>2017-04-07T21:11:00Z</cp:lastPrinted>
  <dcterms:created xsi:type="dcterms:W3CDTF">2022-08-14T13:06:00Z</dcterms:created>
  <dcterms:modified xsi:type="dcterms:W3CDTF">2022-08-14T13:06:00Z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1033-8.1.0.3375</vt:lpwstr>
  </property>
  <property fmtid="{D5CDD505-2E9C-101B-9397-08002B2CF9AE}" pid="3" name="Mendeley Document_1">
    <vt:lpwstr>True</vt:lpwstr>
  </property>
  <property fmtid="{D5CDD505-2E9C-101B-9397-08002B2CF9AE}" pid="4" name="Mendeley Unique User Id_1">
    <vt:lpwstr>47c9431f-019b-366c-8e2b-c6ffadfd3d45</vt:lpwstr>
  </property>
  <property fmtid="{D5CDD505-2E9C-101B-9397-08002B2CF9AE}" pid="5" name="Mendeley Citation Style_1">
    <vt:lpwstr>http://www.zotero.org/styles/apa</vt:lpwstr>
  </property>
</Properties>
</file>