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9D" w:rsidRPr="009377A8" w:rsidRDefault="002B619D" w:rsidP="002B619D">
      <w:pPr>
        <w:spacing w:after="0" w:line="240" w:lineRule="auto"/>
        <w:jc w:val="both"/>
        <w:rPr>
          <w:rFonts w:cs="Times New Roman"/>
          <w:b/>
        </w:rPr>
      </w:pPr>
    </w:p>
    <w:p w:rsidR="002B619D" w:rsidRDefault="002B619D" w:rsidP="002B619D">
      <w:pPr>
        <w:spacing w:after="0" w:line="360" w:lineRule="auto"/>
        <w:jc w:val="both"/>
        <w:rPr>
          <w:rFonts w:cs="Times New Roman"/>
          <w:b/>
        </w:rPr>
        <w:sectPr w:rsidR="002B619D" w:rsidSect="00697CEA">
          <w:pgSz w:w="11906" w:h="16838" w:code="9"/>
          <w:pgMar w:top="1418" w:right="1418" w:bottom="1418" w:left="1985" w:header="706" w:footer="706" w:gutter="0"/>
          <w:cols w:space="708"/>
          <w:docGrid w:linePitch="360"/>
        </w:sectPr>
      </w:pPr>
    </w:p>
    <w:p w:rsidR="002B619D" w:rsidRPr="009377A8" w:rsidRDefault="002B619D" w:rsidP="002B619D">
      <w:pPr>
        <w:spacing w:after="0" w:line="360" w:lineRule="auto"/>
        <w:jc w:val="both"/>
        <w:rPr>
          <w:rFonts w:cs="Times New Roman"/>
          <w:b/>
        </w:rPr>
      </w:pPr>
      <w:r w:rsidRPr="009377A8">
        <w:rPr>
          <w:rFonts w:cs="Times New Roman"/>
          <w:b/>
        </w:rPr>
        <w:lastRenderedPageBreak/>
        <w:t>PENDAHULUAN</w:t>
      </w:r>
    </w:p>
    <w:p w:rsidR="002B619D" w:rsidRPr="009377A8" w:rsidRDefault="002B619D" w:rsidP="002B619D">
      <w:pPr>
        <w:pStyle w:val="Default"/>
        <w:spacing w:line="360" w:lineRule="auto"/>
        <w:ind w:firstLine="720"/>
        <w:jc w:val="both"/>
        <w:rPr>
          <w:rFonts w:asciiTheme="minorHAnsi" w:hAnsiTheme="minorHAnsi" w:cs="Times New Roman"/>
          <w:iCs/>
          <w:sz w:val="22"/>
          <w:szCs w:val="22"/>
        </w:rPr>
      </w:pPr>
      <w:r w:rsidRPr="009377A8">
        <w:rPr>
          <w:rFonts w:asciiTheme="minorHAnsi" w:hAnsiTheme="minorHAnsi" w:cs="Times New Roman"/>
          <w:color w:val="000000" w:themeColor="text1"/>
          <w:sz w:val="22"/>
          <w:szCs w:val="22"/>
        </w:rPr>
        <w:t>Limpasu merupakan salahsatu spesies tanaman berlimpah dari Kalimantan Selatan yang mempunyai data empiris sebagai tanaman obat dari genus Baccaurea (</w:t>
      </w:r>
      <w:r w:rsidRPr="009377A8">
        <w:rPr>
          <w:rFonts w:asciiTheme="minorHAnsi" w:hAnsiTheme="minorHAnsi" w:cs="Times New Roman"/>
          <w:i/>
          <w:color w:val="000000" w:themeColor="text1"/>
          <w:sz w:val="22"/>
          <w:szCs w:val="22"/>
        </w:rPr>
        <w:t>Baccaure</w:t>
      </w:r>
      <w:bookmarkStart w:id="0" w:name="_GoBack"/>
      <w:bookmarkEnd w:id="0"/>
      <w:r w:rsidRPr="009377A8">
        <w:rPr>
          <w:rFonts w:asciiTheme="minorHAnsi" w:hAnsiTheme="minorHAnsi" w:cs="Times New Roman"/>
          <w:i/>
          <w:color w:val="000000" w:themeColor="text1"/>
          <w:sz w:val="22"/>
          <w:szCs w:val="22"/>
        </w:rPr>
        <w:t>a lanceolata</w:t>
      </w:r>
      <w:r w:rsidRPr="009377A8">
        <w:rPr>
          <w:rFonts w:asciiTheme="minorHAnsi" w:hAnsiTheme="minorHAnsi" w:cs="Times New Roman"/>
          <w:color w:val="000000" w:themeColor="text1"/>
          <w:sz w:val="22"/>
          <w:szCs w:val="22"/>
        </w:rPr>
        <w:t xml:space="preserve">). Buah limpasu banyak digunakan salahsatunya dalam pengobatan demam dan sakit perut (Noorchayati dkk, 2010). Demam dapat disebabkan oleh adanya infeksi mikroorganisme terutama bakteri. Telah dilaporkan beberapa spesies dari genus Baccaurea berpotensi sebagai antibakteri. Ekstrak buah </w:t>
      </w:r>
      <w:r w:rsidRPr="009377A8">
        <w:rPr>
          <w:rFonts w:asciiTheme="minorHAnsi" w:hAnsiTheme="minorHAnsi" w:cs="Times New Roman"/>
          <w:i/>
          <w:color w:val="000000" w:themeColor="text1"/>
          <w:sz w:val="22"/>
          <w:szCs w:val="22"/>
        </w:rPr>
        <w:t>Baccaurea</w:t>
      </w:r>
      <w:r w:rsidRPr="009377A8">
        <w:rPr>
          <w:rFonts w:asciiTheme="minorHAnsi" w:hAnsiTheme="minorHAnsi" w:cs="Times New Roman"/>
          <w:color w:val="000000" w:themeColor="text1"/>
          <w:sz w:val="22"/>
          <w:szCs w:val="22"/>
        </w:rPr>
        <w:t xml:space="preserve"> </w:t>
      </w:r>
      <w:r w:rsidRPr="009377A8">
        <w:rPr>
          <w:rFonts w:asciiTheme="minorHAnsi" w:hAnsiTheme="minorHAnsi" w:cs="Times New Roman"/>
          <w:i/>
          <w:color w:val="000000" w:themeColor="text1"/>
          <w:sz w:val="22"/>
          <w:szCs w:val="22"/>
        </w:rPr>
        <w:t>angulata</w:t>
      </w:r>
      <w:r w:rsidRPr="009377A8">
        <w:rPr>
          <w:rFonts w:asciiTheme="minorHAnsi" w:hAnsiTheme="minorHAnsi" w:cs="Times New Roman"/>
          <w:iCs/>
          <w:sz w:val="22"/>
          <w:szCs w:val="22"/>
        </w:rPr>
        <w:t xml:space="preserve"> berpotensi terhadap bakteri patogen(Momand, 2014). Ekstrak daun </w:t>
      </w:r>
      <w:r w:rsidRPr="009377A8">
        <w:rPr>
          <w:rFonts w:asciiTheme="minorHAnsi" w:hAnsiTheme="minorHAnsi" w:cs="Times New Roman"/>
          <w:i/>
          <w:iCs/>
          <w:sz w:val="22"/>
          <w:szCs w:val="22"/>
        </w:rPr>
        <w:t>Baccaurea courtallensis</w:t>
      </w:r>
      <w:r w:rsidRPr="009377A8">
        <w:rPr>
          <w:rFonts w:asciiTheme="minorHAnsi" w:hAnsiTheme="minorHAnsi" w:cs="Times New Roman"/>
          <w:iCs/>
          <w:sz w:val="22"/>
          <w:szCs w:val="22"/>
        </w:rPr>
        <w:t xml:space="preserve"> berpotensi terhadap bakteri gram positif dan bakteri negatif (Sreelakshmi et al, 2017). Adanya hubungan kekerabatan dalam suatu tanaman baik genus maupun spesies dapat menyebabkan potensi farmakologi yang sama.</w:t>
      </w:r>
      <w:r>
        <w:rPr>
          <w:rFonts w:asciiTheme="minorHAnsi" w:hAnsiTheme="minorHAnsi" w:cs="Times New Roman"/>
          <w:iCs/>
          <w:sz w:val="22"/>
          <w:szCs w:val="22"/>
        </w:rPr>
        <w:t xml:space="preserve"> </w:t>
      </w:r>
      <w:r w:rsidRPr="009377A8">
        <w:rPr>
          <w:rFonts w:asciiTheme="minorHAnsi" w:hAnsiTheme="minorHAnsi" w:cs="Times New Roman"/>
          <w:iCs/>
          <w:sz w:val="22"/>
          <w:szCs w:val="22"/>
        </w:rPr>
        <w:t xml:space="preserve">Limpasu mempunyai hubungan kekerabatan dalam genus dengan </w:t>
      </w:r>
      <w:r w:rsidRPr="009377A8">
        <w:rPr>
          <w:rFonts w:asciiTheme="minorHAnsi" w:hAnsiTheme="minorHAnsi" w:cs="Times New Roman"/>
          <w:i/>
          <w:iCs/>
          <w:sz w:val="22"/>
          <w:szCs w:val="22"/>
        </w:rPr>
        <w:t>baccaurea angulata</w:t>
      </w:r>
      <w:r w:rsidRPr="009377A8">
        <w:rPr>
          <w:rFonts w:asciiTheme="minorHAnsi" w:hAnsiTheme="minorHAnsi" w:cs="Times New Roman"/>
          <w:iCs/>
          <w:sz w:val="22"/>
          <w:szCs w:val="22"/>
        </w:rPr>
        <w:t xml:space="preserve"> dan </w:t>
      </w:r>
      <w:r w:rsidRPr="009377A8">
        <w:rPr>
          <w:rFonts w:asciiTheme="minorHAnsi" w:hAnsiTheme="minorHAnsi" w:cs="Times New Roman"/>
          <w:i/>
          <w:iCs/>
          <w:sz w:val="22"/>
          <w:szCs w:val="22"/>
        </w:rPr>
        <w:t>baccaurea courtallensis</w:t>
      </w:r>
      <w:r w:rsidRPr="009377A8">
        <w:rPr>
          <w:rFonts w:asciiTheme="minorHAnsi" w:hAnsiTheme="minorHAnsi" w:cs="Times New Roman"/>
          <w:iCs/>
          <w:sz w:val="22"/>
          <w:szCs w:val="22"/>
        </w:rPr>
        <w:t>.</w:t>
      </w:r>
    </w:p>
    <w:p w:rsidR="002B619D" w:rsidRPr="009377A8" w:rsidRDefault="002B619D" w:rsidP="002B619D">
      <w:pPr>
        <w:autoSpaceDE w:val="0"/>
        <w:autoSpaceDN w:val="0"/>
        <w:adjustRightInd w:val="0"/>
        <w:spacing w:after="0" w:line="360" w:lineRule="auto"/>
        <w:ind w:firstLine="720"/>
        <w:jc w:val="both"/>
        <w:rPr>
          <w:rFonts w:cs="Times New Roman"/>
        </w:rPr>
      </w:pPr>
      <w:r w:rsidRPr="009377A8">
        <w:rPr>
          <w:rFonts w:cs="Times New Roman"/>
          <w:iCs/>
        </w:rPr>
        <w:t>Potensi farmakologi maupun biologi dari suatu tanaman dapat disebabkan adanya metabolit sekunder</w:t>
      </w:r>
      <w:r w:rsidRPr="009377A8">
        <w:rPr>
          <w:rFonts w:cs="Times New Roman"/>
        </w:rPr>
        <w:t>. Menurut Bakar et al</w:t>
      </w:r>
      <w:r w:rsidRPr="009377A8">
        <w:rPr>
          <w:rFonts w:cs="Times New Roman"/>
          <w:vertAlign w:val="superscript"/>
        </w:rPr>
        <w:t xml:space="preserve"> </w:t>
      </w:r>
      <w:r w:rsidRPr="009377A8">
        <w:rPr>
          <w:rFonts w:cs="Times New Roman"/>
        </w:rPr>
        <w:t xml:space="preserve">(Bakar et al, 2014), jika dibandingkan antara kulit buah, daging buah dan biji buah limpasu, daging buah limpasu mempunyai total fenol yang tertinggi, begitu pun total flavonoid, </w:t>
      </w:r>
      <w:r w:rsidRPr="009377A8">
        <w:rPr>
          <w:rFonts w:cs="Times New Roman"/>
        </w:rPr>
        <w:lastRenderedPageBreak/>
        <w:t xml:space="preserve">sedangkan kulit buah limpasu mempunyai total karotenoid tertinggi. Golongan fenolik dan flavonoid merupakan salahsatu kandidat senyawa antibakteri. </w:t>
      </w:r>
    </w:p>
    <w:p w:rsidR="002B619D" w:rsidRPr="009377A8" w:rsidRDefault="002B619D" w:rsidP="002B619D">
      <w:pPr>
        <w:pStyle w:val="Default"/>
        <w:spacing w:line="360" w:lineRule="auto"/>
        <w:ind w:firstLine="720"/>
        <w:jc w:val="both"/>
        <w:rPr>
          <w:rFonts w:asciiTheme="minorHAnsi" w:hAnsiTheme="minorHAnsi" w:cs="Times New Roman"/>
          <w:iCs/>
          <w:sz w:val="22"/>
          <w:szCs w:val="22"/>
        </w:rPr>
      </w:pPr>
      <w:r w:rsidRPr="009377A8">
        <w:rPr>
          <w:rFonts w:asciiTheme="minorHAnsi" w:hAnsiTheme="minorHAnsi" w:cs="Times New Roman"/>
          <w:iCs/>
          <w:sz w:val="22"/>
          <w:szCs w:val="22"/>
        </w:rPr>
        <w:t>Pemilihan metode pengujian aktivitas antibakteri harus murah, terjangkau dan cocok untuk ekstrak, fraksi dan isolat (Klan A et al, 2010; Aulifa et al, 2018). Salahsatu metode yang dapat digunakan pengujian aktivitas antibakteri untuk ekstrak, fraksi maupun isolat adalah difusi dan dilusi (Aulifa e al, 2018).</w:t>
      </w:r>
    </w:p>
    <w:p w:rsidR="002B619D" w:rsidRPr="009377A8" w:rsidRDefault="002B619D" w:rsidP="002B619D">
      <w:pPr>
        <w:pStyle w:val="Default"/>
        <w:spacing w:line="360" w:lineRule="auto"/>
        <w:jc w:val="both"/>
        <w:rPr>
          <w:rFonts w:asciiTheme="minorHAnsi" w:hAnsiTheme="minorHAnsi" w:cs="Times New Roman"/>
          <w:iCs/>
          <w:sz w:val="22"/>
          <w:szCs w:val="22"/>
        </w:rPr>
      </w:pPr>
    </w:p>
    <w:p w:rsidR="002B619D" w:rsidRPr="009377A8" w:rsidRDefault="002B619D" w:rsidP="002B619D">
      <w:pPr>
        <w:pStyle w:val="Default"/>
        <w:spacing w:line="360" w:lineRule="auto"/>
        <w:jc w:val="both"/>
        <w:rPr>
          <w:rFonts w:asciiTheme="minorHAnsi" w:hAnsiTheme="minorHAnsi" w:cs="Times New Roman"/>
          <w:b/>
          <w:iCs/>
          <w:sz w:val="22"/>
          <w:szCs w:val="22"/>
        </w:rPr>
      </w:pPr>
      <w:r w:rsidRPr="009377A8">
        <w:rPr>
          <w:rFonts w:asciiTheme="minorHAnsi" w:hAnsiTheme="minorHAnsi" w:cs="Times New Roman"/>
          <w:b/>
          <w:iCs/>
          <w:sz w:val="22"/>
          <w:szCs w:val="22"/>
        </w:rPr>
        <w:t>Metode Penelitian</w:t>
      </w:r>
    </w:p>
    <w:p w:rsidR="002B619D" w:rsidRPr="009377A8" w:rsidRDefault="002B619D" w:rsidP="002B619D">
      <w:pPr>
        <w:autoSpaceDE w:val="0"/>
        <w:autoSpaceDN w:val="0"/>
        <w:adjustRightInd w:val="0"/>
        <w:spacing w:after="0" w:line="360" w:lineRule="auto"/>
        <w:jc w:val="both"/>
        <w:rPr>
          <w:rFonts w:cs="Times New Roman"/>
          <w:b/>
          <w:color w:val="000000"/>
        </w:rPr>
      </w:pPr>
      <w:r>
        <w:rPr>
          <w:rFonts w:cs="Times New Roman"/>
          <w:b/>
          <w:color w:val="000000"/>
        </w:rPr>
        <w:t>Alat yang D</w:t>
      </w:r>
      <w:r w:rsidRPr="009377A8">
        <w:rPr>
          <w:rFonts w:cs="Times New Roman"/>
          <w:b/>
          <w:color w:val="000000"/>
        </w:rPr>
        <w:t xml:space="preserve">igunakan </w:t>
      </w:r>
    </w:p>
    <w:p w:rsidR="002B619D" w:rsidRPr="009377A8" w:rsidRDefault="002B619D" w:rsidP="002B619D">
      <w:pPr>
        <w:autoSpaceDE w:val="0"/>
        <w:autoSpaceDN w:val="0"/>
        <w:adjustRightInd w:val="0"/>
        <w:spacing w:after="0" w:line="360" w:lineRule="auto"/>
        <w:ind w:firstLine="720"/>
        <w:jc w:val="both"/>
        <w:rPr>
          <w:rFonts w:cs="Times New Roman"/>
          <w:color w:val="000000"/>
        </w:rPr>
      </w:pPr>
      <w:r w:rsidRPr="009377A8">
        <w:rPr>
          <w:rFonts w:cs="Times New Roman"/>
          <w:color w:val="000000"/>
        </w:rPr>
        <w:t>Soxhlet, inkubator (Jenaco), autoklaf, sektrofotometer UV-Vis (Shimadzu UV-Vis 180).</w:t>
      </w:r>
    </w:p>
    <w:p w:rsidR="002B619D" w:rsidRDefault="002B619D" w:rsidP="002B619D">
      <w:pPr>
        <w:autoSpaceDE w:val="0"/>
        <w:autoSpaceDN w:val="0"/>
        <w:adjustRightInd w:val="0"/>
        <w:spacing w:after="0" w:line="360" w:lineRule="auto"/>
        <w:jc w:val="both"/>
        <w:rPr>
          <w:rFonts w:cs="Times New Roman"/>
          <w:b/>
          <w:color w:val="000000"/>
        </w:rPr>
      </w:pPr>
    </w:p>
    <w:p w:rsidR="002B619D" w:rsidRPr="009377A8" w:rsidRDefault="002B619D" w:rsidP="002B619D">
      <w:pPr>
        <w:autoSpaceDE w:val="0"/>
        <w:autoSpaceDN w:val="0"/>
        <w:adjustRightInd w:val="0"/>
        <w:spacing w:after="0" w:line="360" w:lineRule="auto"/>
        <w:jc w:val="both"/>
        <w:rPr>
          <w:rFonts w:cs="Times New Roman"/>
          <w:b/>
          <w:color w:val="000000"/>
        </w:rPr>
      </w:pPr>
      <w:r>
        <w:rPr>
          <w:rFonts w:cs="Times New Roman"/>
          <w:b/>
          <w:color w:val="000000"/>
        </w:rPr>
        <w:t>Bahan yang D</w:t>
      </w:r>
      <w:r w:rsidRPr="009377A8">
        <w:rPr>
          <w:rFonts w:cs="Times New Roman"/>
          <w:b/>
          <w:color w:val="000000"/>
        </w:rPr>
        <w:t>igunakan</w:t>
      </w:r>
    </w:p>
    <w:p w:rsidR="002B619D" w:rsidRPr="009377A8" w:rsidRDefault="002B619D" w:rsidP="002B619D">
      <w:pPr>
        <w:autoSpaceDE w:val="0"/>
        <w:autoSpaceDN w:val="0"/>
        <w:adjustRightInd w:val="0"/>
        <w:spacing w:after="0" w:line="360" w:lineRule="auto"/>
        <w:ind w:firstLine="720"/>
        <w:jc w:val="both"/>
        <w:rPr>
          <w:rFonts w:cs="Times New Roman"/>
        </w:rPr>
      </w:pPr>
      <w:r w:rsidRPr="009377A8">
        <w:rPr>
          <w:rFonts w:cs="Times New Roman"/>
          <w:color w:val="000000"/>
        </w:rPr>
        <w:t xml:space="preserve">Simplisia buah, daun dan kulit batang limpasu dari Kalimantan. </w:t>
      </w:r>
      <w:r w:rsidRPr="009377A8">
        <w:rPr>
          <w:rFonts w:cs="Times New Roman"/>
        </w:rPr>
        <w:t xml:space="preserve">Untuk uji antibakteri digunakan </w:t>
      </w:r>
      <w:r w:rsidRPr="009377A8">
        <w:rPr>
          <w:rFonts w:cs="Times New Roman"/>
          <w:color w:val="000000"/>
        </w:rPr>
        <w:t xml:space="preserve">bakteri </w:t>
      </w:r>
      <w:r w:rsidRPr="009377A8">
        <w:rPr>
          <w:rFonts w:cs="Times New Roman"/>
          <w:i/>
          <w:color w:val="000000"/>
        </w:rPr>
        <w:t>B.subtilis, S.aureus, P.aeruginosa</w:t>
      </w:r>
      <w:r w:rsidRPr="009377A8">
        <w:rPr>
          <w:rFonts w:cs="Times New Roman"/>
          <w:color w:val="000000"/>
        </w:rPr>
        <w:t xml:space="preserve">, </w:t>
      </w:r>
      <w:r w:rsidRPr="009377A8">
        <w:rPr>
          <w:rFonts w:cs="Times New Roman"/>
          <w:i/>
          <w:color w:val="000000"/>
        </w:rPr>
        <w:t xml:space="preserve">E.coli, P.acnes dan S.edpidermidis </w:t>
      </w:r>
      <w:r w:rsidRPr="009377A8">
        <w:rPr>
          <w:rFonts w:cs="Times New Roman"/>
          <w:color w:val="000000"/>
        </w:rPr>
        <w:t xml:space="preserve"> yang didapatkan dari Laboratorium Mikrobiologi, Fakultas Farmasi, Uiversitas Padjadjaran</w:t>
      </w:r>
      <w:r w:rsidRPr="009377A8">
        <w:rPr>
          <w:rFonts w:cs="Times New Roman"/>
        </w:rPr>
        <w:t xml:space="preserve">. Larutan DMSO, akuades steril, alkohol 70%, media </w:t>
      </w:r>
      <w:r w:rsidRPr="009377A8">
        <w:rPr>
          <w:rFonts w:cs="Times New Roman"/>
          <w:i/>
          <w:iCs/>
        </w:rPr>
        <w:t>nutrient agar</w:t>
      </w:r>
      <w:r w:rsidRPr="009377A8">
        <w:rPr>
          <w:rFonts w:cs="Times New Roman"/>
        </w:rPr>
        <w:t>, NaCl 0,9%, klindamisin fosfat (Medi-Klin</w:t>
      </w:r>
      <w:r w:rsidRPr="009377A8">
        <w:rPr>
          <w:rFonts w:cs="Times New Roman"/>
          <w:i/>
          <w:iCs/>
        </w:rPr>
        <w:t>®</w:t>
      </w:r>
      <w:r w:rsidRPr="009377A8">
        <w:rPr>
          <w:rFonts w:cs="Times New Roman"/>
        </w:rPr>
        <w:t>). Serta bahan kimia lainnya yang digunakan untuk skrining fitokimia.</w:t>
      </w:r>
    </w:p>
    <w:p w:rsidR="002B619D" w:rsidRDefault="002B619D" w:rsidP="002B619D">
      <w:pPr>
        <w:autoSpaceDE w:val="0"/>
        <w:autoSpaceDN w:val="0"/>
        <w:adjustRightInd w:val="0"/>
        <w:spacing w:after="0" w:line="360" w:lineRule="auto"/>
        <w:jc w:val="both"/>
        <w:rPr>
          <w:rFonts w:cs="Times New Roman"/>
          <w:b/>
        </w:rPr>
      </w:pPr>
    </w:p>
    <w:p w:rsidR="002B619D" w:rsidRDefault="002B619D" w:rsidP="002B619D">
      <w:pPr>
        <w:autoSpaceDE w:val="0"/>
        <w:autoSpaceDN w:val="0"/>
        <w:adjustRightInd w:val="0"/>
        <w:spacing w:after="0" w:line="360" w:lineRule="auto"/>
        <w:jc w:val="both"/>
        <w:rPr>
          <w:rFonts w:cs="Times New Roman"/>
          <w:b/>
        </w:rPr>
      </w:pPr>
    </w:p>
    <w:p w:rsidR="002B619D" w:rsidRDefault="002B619D" w:rsidP="002B619D">
      <w:pPr>
        <w:autoSpaceDE w:val="0"/>
        <w:autoSpaceDN w:val="0"/>
        <w:adjustRightInd w:val="0"/>
        <w:spacing w:after="0" w:line="360" w:lineRule="auto"/>
        <w:jc w:val="both"/>
        <w:rPr>
          <w:rFonts w:cs="Times New Roman"/>
          <w:b/>
        </w:rPr>
      </w:pPr>
    </w:p>
    <w:p w:rsidR="002B619D" w:rsidRPr="009377A8" w:rsidRDefault="002B619D" w:rsidP="002B619D">
      <w:pPr>
        <w:autoSpaceDE w:val="0"/>
        <w:autoSpaceDN w:val="0"/>
        <w:adjustRightInd w:val="0"/>
        <w:spacing w:after="0" w:line="360" w:lineRule="auto"/>
        <w:jc w:val="both"/>
        <w:rPr>
          <w:rFonts w:cs="Times New Roman"/>
          <w:b/>
        </w:rPr>
      </w:pPr>
      <w:r w:rsidRPr="009377A8">
        <w:rPr>
          <w:rFonts w:cs="Times New Roman"/>
          <w:b/>
        </w:rPr>
        <w:lastRenderedPageBreak/>
        <w:t>Ektraksi</w:t>
      </w:r>
    </w:p>
    <w:p w:rsidR="002B619D" w:rsidRPr="009377A8" w:rsidRDefault="002B619D" w:rsidP="002B619D">
      <w:pPr>
        <w:autoSpaceDE w:val="0"/>
        <w:autoSpaceDN w:val="0"/>
        <w:adjustRightInd w:val="0"/>
        <w:spacing w:after="0" w:line="360" w:lineRule="auto"/>
        <w:ind w:firstLine="720"/>
        <w:jc w:val="both"/>
        <w:rPr>
          <w:rFonts w:cs="Times New Roman"/>
        </w:rPr>
      </w:pPr>
      <w:r w:rsidRPr="009377A8">
        <w:rPr>
          <w:rFonts w:cs="Times New Roman"/>
        </w:rPr>
        <w:t xml:space="preserve">Simplisia kering buah, daun dan kulit batang masing-masing diekstraksi menggunakan Soxhlet dengan pelarut ethanol 96%. Penguapan masing-masing ekstrak menggunakan rotary vaporator sehingga didapatkan 3 ekstrak kental, ekstrak buah (EB), ekstrak daun (ED) dan ekstrak kulit batang (EKB). </w:t>
      </w:r>
    </w:p>
    <w:p w:rsidR="002B619D" w:rsidRPr="009377A8" w:rsidRDefault="002B619D" w:rsidP="002B619D">
      <w:pPr>
        <w:autoSpaceDE w:val="0"/>
        <w:autoSpaceDN w:val="0"/>
        <w:adjustRightInd w:val="0"/>
        <w:spacing w:after="0" w:line="360" w:lineRule="auto"/>
        <w:jc w:val="both"/>
        <w:rPr>
          <w:rFonts w:cs="Times New Roman"/>
        </w:rPr>
      </w:pPr>
    </w:p>
    <w:p w:rsidR="002B619D" w:rsidRPr="009377A8" w:rsidRDefault="002B619D" w:rsidP="002B619D">
      <w:pPr>
        <w:autoSpaceDE w:val="0"/>
        <w:autoSpaceDN w:val="0"/>
        <w:adjustRightInd w:val="0"/>
        <w:spacing w:after="0" w:line="360" w:lineRule="auto"/>
        <w:jc w:val="both"/>
        <w:rPr>
          <w:rFonts w:cs="Times New Roman"/>
          <w:b/>
        </w:rPr>
      </w:pPr>
      <w:r w:rsidRPr="009377A8">
        <w:rPr>
          <w:rFonts w:cs="Times New Roman"/>
          <w:b/>
        </w:rPr>
        <w:t>Skrining Fitokimia</w:t>
      </w:r>
    </w:p>
    <w:p w:rsidR="002B619D" w:rsidRPr="009377A8" w:rsidRDefault="002B619D" w:rsidP="002B619D">
      <w:pPr>
        <w:autoSpaceDE w:val="0"/>
        <w:autoSpaceDN w:val="0"/>
        <w:adjustRightInd w:val="0"/>
        <w:spacing w:after="0" w:line="360" w:lineRule="auto"/>
        <w:ind w:firstLine="720"/>
        <w:jc w:val="both"/>
        <w:rPr>
          <w:rFonts w:cs="Times New Roman"/>
        </w:rPr>
      </w:pPr>
      <w:r w:rsidRPr="009377A8">
        <w:rPr>
          <w:rFonts w:cs="Times New Roman"/>
        </w:rPr>
        <w:t>Skrining fitokimia dilakukan terhadap masing-masing ekstrak (EB, ED dan EKB). Untuk kandungan kimia golongan fenol menggunakan FeCl</w:t>
      </w:r>
      <w:r w:rsidRPr="009377A8">
        <w:rPr>
          <w:rFonts w:cs="Times New Roman"/>
          <w:vertAlign w:val="subscript"/>
        </w:rPr>
        <w:t>3</w:t>
      </w:r>
      <w:r w:rsidRPr="009377A8">
        <w:rPr>
          <w:rFonts w:cs="Times New Roman"/>
        </w:rPr>
        <w:t xml:space="preserve"> 10%, flavonoid menggunakan pereaksi amil alkohol, tannin menggunakan gelatin, alkaloid menggunakan pereaksi Dragendorf dan Mayer, kuinon dengan penambahan KOH 5%, saponin dengan adanya pngocokan dan ditunjukkan dengan busa yang konsisten ± 10 menit dalam ekstrak air, monoterpen dan seskuiterpen menggunakan 10% vanilin sulfat, steroid dan triterpenoid menggunakan pereaksi Lieberman-Burchard</w:t>
      </w:r>
      <w:r w:rsidRPr="009377A8">
        <w:rPr>
          <w:rFonts w:cs="Times New Roman"/>
          <w:vertAlign w:val="superscript"/>
        </w:rPr>
        <w:t xml:space="preserve"> </w:t>
      </w:r>
      <w:r w:rsidRPr="009377A8">
        <w:rPr>
          <w:rFonts w:cs="Times New Roman"/>
        </w:rPr>
        <w:t>(Marliana dkk, 2005).</w:t>
      </w:r>
    </w:p>
    <w:p w:rsidR="002B619D" w:rsidRPr="009377A8" w:rsidRDefault="002B619D" w:rsidP="002B619D">
      <w:pPr>
        <w:autoSpaceDE w:val="0"/>
        <w:autoSpaceDN w:val="0"/>
        <w:adjustRightInd w:val="0"/>
        <w:spacing w:after="0" w:line="360" w:lineRule="auto"/>
        <w:jc w:val="both"/>
        <w:rPr>
          <w:rFonts w:cs="Times New Roman"/>
        </w:rPr>
      </w:pPr>
    </w:p>
    <w:p w:rsidR="002B619D" w:rsidRPr="009377A8" w:rsidRDefault="002B619D" w:rsidP="002B619D">
      <w:pPr>
        <w:autoSpaceDE w:val="0"/>
        <w:autoSpaceDN w:val="0"/>
        <w:adjustRightInd w:val="0"/>
        <w:spacing w:after="0" w:line="360" w:lineRule="auto"/>
        <w:jc w:val="both"/>
        <w:rPr>
          <w:rFonts w:cs="Times New Roman"/>
          <w:b/>
        </w:rPr>
      </w:pPr>
      <w:r>
        <w:rPr>
          <w:rFonts w:cs="Times New Roman"/>
          <w:b/>
        </w:rPr>
        <w:t>Pengujian Aktivitas A</w:t>
      </w:r>
      <w:r w:rsidRPr="009377A8">
        <w:rPr>
          <w:rFonts w:cs="Times New Roman"/>
          <w:b/>
        </w:rPr>
        <w:t>ntibakteri</w:t>
      </w:r>
    </w:p>
    <w:p w:rsidR="002B619D" w:rsidRPr="009377A8" w:rsidRDefault="002B619D" w:rsidP="002B619D">
      <w:pPr>
        <w:autoSpaceDE w:val="0"/>
        <w:autoSpaceDN w:val="0"/>
        <w:adjustRightInd w:val="0"/>
        <w:spacing w:after="0" w:line="360" w:lineRule="auto"/>
        <w:jc w:val="both"/>
        <w:rPr>
          <w:rFonts w:cs="Times New Roman"/>
          <w:b/>
        </w:rPr>
      </w:pPr>
      <w:r w:rsidRPr="009377A8">
        <w:rPr>
          <w:rFonts w:cs="Times New Roman"/>
          <w:b/>
        </w:rPr>
        <w:t>Penyiapan Bakteri</w:t>
      </w:r>
    </w:p>
    <w:p w:rsidR="002B619D" w:rsidRPr="009377A8" w:rsidRDefault="002B619D" w:rsidP="002B619D">
      <w:pPr>
        <w:autoSpaceDE w:val="0"/>
        <w:autoSpaceDN w:val="0"/>
        <w:adjustRightInd w:val="0"/>
        <w:spacing w:after="0" w:line="360" w:lineRule="auto"/>
        <w:ind w:firstLine="720"/>
        <w:jc w:val="both"/>
        <w:rPr>
          <w:rFonts w:cs="Times New Roman"/>
        </w:rPr>
      </w:pPr>
      <w:r w:rsidRPr="009377A8">
        <w:rPr>
          <w:rFonts w:cs="Times New Roman"/>
        </w:rPr>
        <w:t xml:space="preserve">Masing-masing bakteri uji diremajakan terlebih dahulu pada media </w:t>
      </w:r>
      <w:r w:rsidRPr="009377A8">
        <w:rPr>
          <w:rFonts w:cs="Times New Roman"/>
          <w:i/>
        </w:rPr>
        <w:t>Nutrien Agar</w:t>
      </w:r>
      <w:r w:rsidRPr="009377A8">
        <w:rPr>
          <w:rFonts w:cs="Times New Roman"/>
        </w:rPr>
        <w:t xml:space="preserve"> yang telah disterilisasi kemudian diinkubasi pada suhu 37°C selama 18-24 jam. Bakteri uji hasil peremajaan masing-masing disuspensikan </w:t>
      </w:r>
      <w:r w:rsidRPr="009377A8">
        <w:rPr>
          <w:rFonts w:cs="Times New Roman"/>
        </w:rPr>
        <w:lastRenderedPageBreak/>
        <w:t>dalam larutan natrium klorida (NaCl) 0,9% b/v steril. Suspensi bakteri diukur nilai transmitanya menggunakan spektrofotometer pada panjang gelombang 580 nm hingga diperoleh transmitan 25 %.</w:t>
      </w:r>
    </w:p>
    <w:p w:rsidR="002B619D" w:rsidRPr="009377A8" w:rsidRDefault="002B619D" w:rsidP="002B619D">
      <w:pPr>
        <w:autoSpaceDE w:val="0"/>
        <w:autoSpaceDN w:val="0"/>
        <w:adjustRightInd w:val="0"/>
        <w:spacing w:after="0" w:line="360" w:lineRule="auto"/>
        <w:ind w:firstLine="720"/>
        <w:jc w:val="both"/>
        <w:rPr>
          <w:rFonts w:cs="Times New Roman"/>
        </w:rPr>
      </w:pPr>
      <w:r w:rsidRPr="009377A8">
        <w:rPr>
          <w:rFonts w:cs="Times New Roman"/>
        </w:rPr>
        <w:t>Pengujian aktivitas antibakteri EB, ED dan EKB menggunakan metode difusi agar. Sebanyak 15 mL media agar dimasukkan ke dalam cawan petri kemudian didiamkan hingga mengeras, selanjutnya dimasukkan sebanyak 100 µL suspensi bakteri ke dalam cawan petri, diratakan dengan spreader pada permukaan media agar dan diinkubasi pada suhu 37</w:t>
      </w:r>
      <w:r w:rsidRPr="009377A8">
        <w:rPr>
          <w:rFonts w:cs="Times New Roman"/>
          <w:vertAlign w:val="superscript"/>
        </w:rPr>
        <w:t>0</w:t>
      </w:r>
      <w:r w:rsidRPr="009377A8">
        <w:rPr>
          <w:rFonts w:cs="Times New Roman"/>
        </w:rPr>
        <w:t xml:space="preserve">C selama 24 jam. Ekstrak dilarutkan dalam DMSO 1% V/V </w:t>
      </w:r>
      <w:r>
        <w:rPr>
          <w:rFonts w:cs="Times New Roman"/>
        </w:rPr>
        <w:t xml:space="preserve">dan dibuat 4 konsentrasi: 80, 40, </w:t>
      </w:r>
      <w:r w:rsidRPr="009377A8">
        <w:rPr>
          <w:rFonts w:cs="Times New Roman"/>
        </w:rPr>
        <w:t>20</w:t>
      </w:r>
      <w:r>
        <w:rPr>
          <w:rFonts w:cs="Times New Roman"/>
        </w:rPr>
        <w:t xml:space="preserve"> dan 10</w:t>
      </w:r>
      <w:r w:rsidRPr="009377A8">
        <w:rPr>
          <w:rFonts w:cs="Times New Roman"/>
        </w:rPr>
        <w:t xml:space="preserve">% w/v. Pengujian aktivitas antibakteri dilakukasan secara triplo kemudian diukur zona bening dari setiap cawan petri. </w:t>
      </w:r>
    </w:p>
    <w:p w:rsidR="002B619D" w:rsidRPr="009377A8" w:rsidRDefault="002B619D" w:rsidP="002B619D">
      <w:pPr>
        <w:autoSpaceDE w:val="0"/>
        <w:autoSpaceDN w:val="0"/>
        <w:adjustRightInd w:val="0"/>
        <w:spacing w:after="0" w:line="360" w:lineRule="auto"/>
        <w:jc w:val="both"/>
        <w:rPr>
          <w:rFonts w:cs="Times New Roman"/>
        </w:rPr>
      </w:pPr>
    </w:p>
    <w:p w:rsidR="002B619D" w:rsidRPr="009377A8" w:rsidRDefault="002B619D" w:rsidP="002B619D">
      <w:pPr>
        <w:autoSpaceDE w:val="0"/>
        <w:autoSpaceDN w:val="0"/>
        <w:adjustRightInd w:val="0"/>
        <w:spacing w:after="0" w:line="360" w:lineRule="auto"/>
        <w:jc w:val="both"/>
        <w:rPr>
          <w:rFonts w:cs="Times New Roman"/>
          <w:b/>
        </w:rPr>
      </w:pPr>
      <w:r w:rsidRPr="009377A8">
        <w:rPr>
          <w:rFonts w:cs="Times New Roman"/>
          <w:b/>
        </w:rPr>
        <w:t>Penentuan Konsentrasi Hambat Minimum</w:t>
      </w:r>
    </w:p>
    <w:p w:rsidR="002B619D" w:rsidRDefault="002B619D" w:rsidP="002B619D">
      <w:pPr>
        <w:autoSpaceDE w:val="0"/>
        <w:autoSpaceDN w:val="0"/>
        <w:adjustRightInd w:val="0"/>
        <w:spacing w:after="0" w:line="360" w:lineRule="auto"/>
        <w:ind w:firstLine="720"/>
        <w:jc w:val="both"/>
        <w:rPr>
          <w:rFonts w:cs="Times New Roman"/>
        </w:rPr>
      </w:pPr>
      <w:r w:rsidRPr="009377A8">
        <w:rPr>
          <w:rFonts w:cs="Times New Roman"/>
        </w:rPr>
        <w:t>Konsentrasi hambat minimum EB, ED dan EKB terhadap keenam bakteri uji dengan metode difusi agar menggunakan kertas cakram. Pengujian dilakukan dengan penurunan konsentrasi dari konsentrasi pengujian aktivitas antibakteri, yai</w:t>
      </w:r>
      <w:r>
        <w:rPr>
          <w:rFonts w:cs="Times New Roman"/>
        </w:rPr>
        <w:t>tu 10%, 5%, 2,5%, 1,25% dan 0,625%</w:t>
      </w:r>
      <w:r w:rsidRPr="009377A8">
        <w:rPr>
          <w:rFonts w:cs="Times New Roman"/>
        </w:rPr>
        <w:t xml:space="preserve"> </w:t>
      </w:r>
    </w:p>
    <w:p w:rsidR="002B619D" w:rsidRDefault="002B619D" w:rsidP="002B619D">
      <w:pPr>
        <w:autoSpaceDE w:val="0"/>
        <w:autoSpaceDN w:val="0"/>
        <w:adjustRightInd w:val="0"/>
        <w:spacing w:after="0" w:line="360" w:lineRule="auto"/>
        <w:jc w:val="both"/>
        <w:rPr>
          <w:rFonts w:cs="Times New Roman"/>
          <w:b/>
        </w:rPr>
      </w:pPr>
    </w:p>
    <w:p w:rsidR="002B619D" w:rsidRPr="00697CEA" w:rsidRDefault="002B619D" w:rsidP="002B619D">
      <w:pPr>
        <w:autoSpaceDE w:val="0"/>
        <w:autoSpaceDN w:val="0"/>
        <w:adjustRightInd w:val="0"/>
        <w:spacing w:after="0" w:line="360" w:lineRule="auto"/>
        <w:jc w:val="both"/>
        <w:rPr>
          <w:rFonts w:cs="Times New Roman"/>
        </w:rPr>
      </w:pPr>
      <w:r w:rsidRPr="009377A8">
        <w:rPr>
          <w:rFonts w:cs="Times New Roman"/>
          <w:b/>
        </w:rPr>
        <w:t>HASIL DAN PEMBAHASAN</w:t>
      </w:r>
    </w:p>
    <w:p w:rsidR="002B619D" w:rsidRPr="009377A8" w:rsidRDefault="002B619D" w:rsidP="002B619D">
      <w:pPr>
        <w:autoSpaceDE w:val="0"/>
        <w:autoSpaceDN w:val="0"/>
        <w:adjustRightInd w:val="0"/>
        <w:spacing w:after="0" w:line="360" w:lineRule="auto"/>
        <w:ind w:firstLine="720"/>
        <w:jc w:val="both"/>
        <w:rPr>
          <w:rFonts w:cs="Times New Roman"/>
        </w:rPr>
      </w:pPr>
      <w:r w:rsidRPr="009377A8">
        <w:rPr>
          <w:rFonts w:cs="Times New Roman"/>
        </w:rPr>
        <w:t xml:space="preserve">Ekstrak EB, ED dan EKB secara organoleptis mempunyai karakteristik yang berbeda, Tabel 1. Hal tersebut dapat </w:t>
      </w:r>
      <w:r w:rsidRPr="009377A8">
        <w:rPr>
          <w:rFonts w:cs="Times New Roman"/>
        </w:rPr>
        <w:lastRenderedPageBreak/>
        <w:t xml:space="preserve">menunjukkan dengan adanya perbedaan baik jenis ataupun kadar kandungan kimia. </w:t>
      </w:r>
    </w:p>
    <w:p w:rsidR="002B619D" w:rsidRPr="009377A8" w:rsidRDefault="002B619D" w:rsidP="002B619D">
      <w:pPr>
        <w:autoSpaceDE w:val="0"/>
        <w:autoSpaceDN w:val="0"/>
        <w:adjustRightInd w:val="0"/>
        <w:spacing w:after="0" w:line="360" w:lineRule="auto"/>
        <w:ind w:firstLine="720"/>
        <w:jc w:val="both"/>
        <w:rPr>
          <w:rFonts w:cs="Times New Roman"/>
        </w:rPr>
      </w:pPr>
      <w:r w:rsidRPr="009377A8">
        <w:rPr>
          <w:rFonts w:cs="Times New Roman"/>
        </w:rPr>
        <w:t xml:space="preserve">EB, ED dan EKB pada dasarnya mempunyai golongan metabolit sekunder yang sama yaitu, positif fenol, alkaloid, flavonoid, tannin dan kuinon, Tabel 2. Walaupun mempunyai kesamaan dalam golongan metabolit sekunder, tapi tidak menutup kemungkinan mempunyai jenis dan kadar senyawa yang berbeda. Hasil penelitian sebelumnya, menurut Bakar et al (Bakar et al, 2014), ekstrak methanol 80% daging buah limpasu mempunyai total fenol yang tertinggi, begitu pun total flavonoid, sedangkan kulit buah limpasu mempunyai total karotenoid tertinggi. Selain itu, Bakar et al juga menunjukkan bahwa ekstrak kulit buah </w:t>
      </w:r>
      <w:r w:rsidRPr="009377A8">
        <w:rPr>
          <w:rFonts w:cs="Times New Roman"/>
          <w:i/>
        </w:rPr>
        <w:t>Baccaurea macrocarpa</w:t>
      </w:r>
      <w:r w:rsidRPr="009377A8">
        <w:rPr>
          <w:rFonts w:cs="Times New Roman"/>
        </w:rPr>
        <w:t xml:space="preserve"> memiliki total fenol dan total flavonoid tertinggi jika dibandingkan dengan ekstrak methanol 80% daging buah dan biji buah </w:t>
      </w:r>
      <w:r w:rsidRPr="009377A8">
        <w:rPr>
          <w:rFonts w:cs="Times New Roman"/>
          <w:i/>
        </w:rPr>
        <w:t>B.Macrocarpa</w:t>
      </w:r>
      <w:r w:rsidRPr="009377A8">
        <w:rPr>
          <w:rFonts w:cs="Times New Roman"/>
        </w:rPr>
        <w:t xml:space="preserve">. Hasil penelitian lain masih kerabat limpasu, estrak methanol daun </w:t>
      </w:r>
      <w:r w:rsidRPr="009377A8">
        <w:rPr>
          <w:rFonts w:cs="Times New Roman"/>
          <w:i/>
        </w:rPr>
        <w:t>Baccaurea courtallensis</w:t>
      </w:r>
      <w:r w:rsidRPr="009377A8">
        <w:rPr>
          <w:rFonts w:cs="Times New Roman"/>
        </w:rPr>
        <w:t xml:space="preserve"> positif terhadap kandungan kimia tanin, saponin dan fenolik sedangkan ekstrak metanol buah </w:t>
      </w:r>
      <w:r w:rsidRPr="009377A8">
        <w:rPr>
          <w:rFonts w:cs="Times New Roman"/>
          <w:i/>
        </w:rPr>
        <w:t>Baccaurea courtallensis</w:t>
      </w:r>
      <w:r w:rsidRPr="009377A8">
        <w:rPr>
          <w:rFonts w:cs="Times New Roman"/>
        </w:rPr>
        <w:t xml:space="preserve"> positif terhadap kandungan kimia tanin dan golongan fenolik (Aiswarya et al, 2016).</w:t>
      </w:r>
    </w:p>
    <w:p w:rsidR="002B619D" w:rsidRPr="009377A8" w:rsidRDefault="002B619D" w:rsidP="002B619D">
      <w:pPr>
        <w:autoSpaceDE w:val="0"/>
        <w:autoSpaceDN w:val="0"/>
        <w:adjustRightInd w:val="0"/>
        <w:spacing w:after="0" w:line="360" w:lineRule="auto"/>
        <w:ind w:firstLine="720"/>
        <w:jc w:val="both"/>
        <w:rPr>
          <w:rFonts w:cs="Times New Roman"/>
        </w:rPr>
      </w:pPr>
      <w:r w:rsidRPr="009377A8">
        <w:rPr>
          <w:rFonts w:cs="Times New Roman"/>
        </w:rPr>
        <w:t xml:space="preserve">Metode pengujian aktivitas antibakteri yang digunakan pada penelitian ini menggunakan difusi agar dengan kertas cakram. Metode difusi agar dipilih karena sederhana, cepat dan murah (Klan et al, </w:t>
      </w:r>
      <w:r w:rsidRPr="009377A8">
        <w:rPr>
          <w:rFonts w:cs="Times New Roman"/>
        </w:rPr>
        <w:lastRenderedPageBreak/>
        <w:t>2010; Aulifa et al, 2018). EB, ED dan EKB mempunyai potensi sebagai antibakteri baik bakteri positif maupun negatif. EB, ED dan EKB mempunyai aktivtas antibakteri yang berbeda-beda. Hasil pengujian aktivitas antibakteri terhadap B</w:t>
      </w:r>
      <w:r w:rsidRPr="009377A8">
        <w:rPr>
          <w:rFonts w:cs="Times New Roman"/>
          <w:i/>
        </w:rPr>
        <w:t>.subtilis, S. Aureus, P. Aureuginosa</w:t>
      </w:r>
      <w:r w:rsidRPr="009377A8">
        <w:rPr>
          <w:rFonts w:cs="Times New Roman"/>
        </w:rPr>
        <w:t xml:space="preserve">, </w:t>
      </w:r>
      <w:r w:rsidRPr="009377A8">
        <w:rPr>
          <w:rFonts w:cs="Times New Roman"/>
          <w:i/>
        </w:rPr>
        <w:t>E.coli</w:t>
      </w:r>
      <w:r w:rsidRPr="009377A8">
        <w:rPr>
          <w:rFonts w:cs="Times New Roman"/>
        </w:rPr>
        <w:t xml:space="preserve">, </w:t>
      </w:r>
      <w:r w:rsidRPr="009377A8">
        <w:rPr>
          <w:rFonts w:cs="Times New Roman"/>
          <w:i/>
        </w:rPr>
        <w:t>P.acnes</w:t>
      </w:r>
      <w:r w:rsidRPr="009377A8">
        <w:rPr>
          <w:rFonts w:cs="Times New Roman"/>
        </w:rPr>
        <w:t xml:space="preserve"> dan </w:t>
      </w:r>
      <w:r w:rsidRPr="009377A8">
        <w:rPr>
          <w:rFonts w:cs="Times New Roman"/>
          <w:i/>
        </w:rPr>
        <w:t>S.epidermidis</w:t>
      </w:r>
      <w:r w:rsidRPr="009377A8">
        <w:rPr>
          <w:rFonts w:cs="Times New Roman"/>
        </w:rPr>
        <w:t xml:space="preserve"> dapat dilihat pada Grafik batang 1. EB, ED dan EKB positif mengandung metabolit sekunder golongan fenol. Golongan fenol dan flavonoid merupakan metabolit sekunder yang terdapat dalam tanaman sebagai kandidat senyawa antibakteri dan antioksidan.</w:t>
      </w:r>
    </w:p>
    <w:p w:rsidR="002B619D" w:rsidRPr="009377A8" w:rsidRDefault="002B619D" w:rsidP="002B619D">
      <w:pPr>
        <w:autoSpaceDE w:val="0"/>
        <w:autoSpaceDN w:val="0"/>
        <w:adjustRightInd w:val="0"/>
        <w:spacing w:after="0" w:line="360" w:lineRule="auto"/>
        <w:ind w:firstLine="720"/>
        <w:jc w:val="both"/>
        <w:rPr>
          <w:rFonts w:cs="Times New Roman"/>
          <w:color w:val="FF0000"/>
        </w:rPr>
      </w:pPr>
      <w:r w:rsidRPr="009377A8">
        <w:rPr>
          <w:rFonts w:cs="Times New Roman"/>
        </w:rPr>
        <w:t xml:space="preserve">EB paling berpotensi terhadap </w:t>
      </w:r>
      <w:r w:rsidRPr="009377A8">
        <w:rPr>
          <w:rFonts w:cs="Times New Roman"/>
          <w:i/>
        </w:rPr>
        <w:t>S. Aureus, P. Aureuginoa</w:t>
      </w:r>
      <w:r w:rsidRPr="009377A8">
        <w:rPr>
          <w:rFonts w:cs="Times New Roman"/>
        </w:rPr>
        <w:t xml:space="preserve">, </w:t>
      </w:r>
      <w:r w:rsidRPr="009377A8">
        <w:rPr>
          <w:rFonts w:cs="Times New Roman"/>
          <w:i/>
        </w:rPr>
        <w:t>E.coli</w:t>
      </w:r>
      <w:r w:rsidRPr="009377A8">
        <w:rPr>
          <w:rFonts w:cs="Times New Roman"/>
        </w:rPr>
        <w:t xml:space="preserve"> dan </w:t>
      </w:r>
      <w:r w:rsidRPr="009377A8">
        <w:rPr>
          <w:rFonts w:cs="Times New Roman"/>
          <w:i/>
        </w:rPr>
        <w:t>P.acnes</w:t>
      </w:r>
      <w:r w:rsidRPr="009377A8">
        <w:rPr>
          <w:rFonts w:cs="Times New Roman"/>
        </w:rPr>
        <w:t xml:space="preserve"> disusul oleh EKB terhadap </w:t>
      </w:r>
      <w:r w:rsidRPr="009377A8">
        <w:rPr>
          <w:rFonts w:cs="Times New Roman"/>
          <w:i/>
        </w:rPr>
        <w:t>B.subtilis</w:t>
      </w:r>
      <w:r w:rsidRPr="009377A8">
        <w:rPr>
          <w:rFonts w:cs="Times New Roman"/>
        </w:rPr>
        <w:t>. Perbedaan potensi tersebut dapat dipengaruhi oleh jenis maupun kadar senyawa kimia yang terkandung dari setiap ekstrak.   Aktivitas biologi dan kandungan kimia dapat dipengaruhi oleh faktor fisika maupun kimia (</w:t>
      </w:r>
      <w:r w:rsidRPr="009377A8">
        <w:rPr>
          <w:rFonts w:cs="Times New Roman"/>
          <w:color w:val="000000"/>
        </w:rPr>
        <w:t>Ngamkitidechakul</w:t>
      </w:r>
      <w:r w:rsidRPr="009377A8">
        <w:rPr>
          <w:rFonts w:cs="Times New Roman"/>
        </w:rPr>
        <w:t>, 2010). Selain itu adanya perbedaan bagian tumbuhan dan kematangan dari bagian tumbuhan tersebut dapat mempengaruhi pada aktivitas biologi (Wang et al, 2003; Duma et al, 2003).</w:t>
      </w:r>
    </w:p>
    <w:p w:rsidR="002B619D" w:rsidRPr="009377A8" w:rsidRDefault="002B619D" w:rsidP="002B619D">
      <w:pPr>
        <w:pStyle w:val="Default"/>
        <w:spacing w:line="360" w:lineRule="auto"/>
        <w:ind w:firstLine="720"/>
        <w:jc w:val="both"/>
        <w:rPr>
          <w:rFonts w:asciiTheme="minorHAnsi" w:eastAsia="Times New Roman" w:hAnsiTheme="minorHAnsi" w:cs="Times New Roman"/>
          <w:sz w:val="22"/>
          <w:szCs w:val="22"/>
        </w:rPr>
      </w:pPr>
      <w:r w:rsidRPr="009377A8">
        <w:rPr>
          <w:rFonts w:asciiTheme="minorHAnsi" w:hAnsiTheme="minorHAnsi" w:cs="Times New Roman"/>
          <w:iCs/>
          <w:sz w:val="22"/>
          <w:szCs w:val="22"/>
        </w:rPr>
        <w:t xml:space="preserve">EB mempunyai KHM terkecil untuk </w:t>
      </w:r>
      <w:r w:rsidRPr="009377A8">
        <w:rPr>
          <w:rFonts w:asciiTheme="minorHAnsi" w:hAnsiTheme="minorHAnsi" w:cs="Times New Roman"/>
          <w:i/>
          <w:iCs/>
          <w:sz w:val="22"/>
          <w:szCs w:val="22"/>
        </w:rPr>
        <w:t>B.subtilis, S.aureus, P. Aureuginosa</w:t>
      </w:r>
      <w:r w:rsidRPr="009377A8">
        <w:rPr>
          <w:rFonts w:asciiTheme="minorHAnsi" w:hAnsiTheme="minorHAnsi" w:cs="Times New Roman"/>
          <w:iCs/>
          <w:sz w:val="22"/>
          <w:szCs w:val="22"/>
        </w:rPr>
        <w:t xml:space="preserve">, </w:t>
      </w:r>
      <w:r w:rsidRPr="009377A8">
        <w:rPr>
          <w:rFonts w:asciiTheme="minorHAnsi" w:hAnsiTheme="minorHAnsi" w:cs="Times New Roman"/>
          <w:i/>
          <w:iCs/>
          <w:sz w:val="22"/>
          <w:szCs w:val="22"/>
        </w:rPr>
        <w:t>E.coli</w:t>
      </w:r>
      <w:r w:rsidRPr="009377A8">
        <w:rPr>
          <w:rFonts w:asciiTheme="minorHAnsi" w:hAnsiTheme="minorHAnsi" w:cs="Times New Roman"/>
          <w:iCs/>
          <w:sz w:val="22"/>
          <w:szCs w:val="22"/>
        </w:rPr>
        <w:t xml:space="preserve"> dan </w:t>
      </w:r>
      <w:r w:rsidRPr="009377A8">
        <w:rPr>
          <w:rFonts w:asciiTheme="minorHAnsi" w:hAnsiTheme="minorHAnsi" w:cs="Times New Roman"/>
          <w:i/>
          <w:iCs/>
          <w:sz w:val="22"/>
          <w:szCs w:val="22"/>
        </w:rPr>
        <w:t>P.acnes</w:t>
      </w:r>
      <w:r w:rsidRPr="009377A8">
        <w:rPr>
          <w:rFonts w:asciiTheme="minorHAnsi" w:hAnsiTheme="minorHAnsi" w:cs="Times New Roman"/>
          <w:iCs/>
          <w:sz w:val="22"/>
          <w:szCs w:val="22"/>
        </w:rPr>
        <w:t xml:space="preserve"> yaitu 2</w:t>
      </w:r>
      <w:r>
        <w:rPr>
          <w:rFonts w:asciiTheme="minorHAnsi" w:hAnsiTheme="minorHAnsi" w:cs="Times New Roman"/>
          <w:iCs/>
          <w:sz w:val="22"/>
          <w:szCs w:val="22"/>
        </w:rPr>
        <w:t>,</w:t>
      </w:r>
      <w:r w:rsidRPr="009377A8">
        <w:rPr>
          <w:rFonts w:asciiTheme="minorHAnsi" w:hAnsiTheme="minorHAnsi" w:cs="Times New Roman"/>
          <w:iCs/>
          <w:sz w:val="22"/>
          <w:szCs w:val="22"/>
        </w:rPr>
        <w:t xml:space="preserve">5% w/v disusul EKB hanya terhadap </w:t>
      </w:r>
      <w:r w:rsidRPr="009377A8">
        <w:rPr>
          <w:rFonts w:asciiTheme="minorHAnsi" w:hAnsiTheme="minorHAnsi" w:cs="Times New Roman"/>
          <w:i/>
          <w:iCs/>
          <w:sz w:val="22"/>
          <w:szCs w:val="22"/>
        </w:rPr>
        <w:t>E.coli</w:t>
      </w:r>
      <w:r w:rsidRPr="009377A8">
        <w:rPr>
          <w:rFonts w:asciiTheme="minorHAnsi" w:hAnsiTheme="minorHAnsi" w:cs="Times New Roman"/>
          <w:iCs/>
          <w:sz w:val="22"/>
          <w:szCs w:val="22"/>
        </w:rPr>
        <w:t xml:space="preserve"> sebesar 2</w:t>
      </w:r>
      <w:r>
        <w:rPr>
          <w:rFonts w:asciiTheme="minorHAnsi" w:hAnsiTheme="minorHAnsi" w:cs="Times New Roman"/>
          <w:iCs/>
          <w:sz w:val="22"/>
          <w:szCs w:val="22"/>
        </w:rPr>
        <w:t>,</w:t>
      </w:r>
      <w:r w:rsidRPr="009377A8">
        <w:rPr>
          <w:rFonts w:asciiTheme="minorHAnsi" w:hAnsiTheme="minorHAnsi" w:cs="Times New Roman"/>
          <w:iCs/>
          <w:sz w:val="22"/>
          <w:szCs w:val="22"/>
        </w:rPr>
        <w:t xml:space="preserve">5% w/v. KHM menunjukkan konsentrasi terkecil yang dapat menghambat pertumbuhan bakteri. Toy, 2015, menyatakan bahwa </w:t>
      </w:r>
      <w:r w:rsidRPr="009377A8">
        <w:rPr>
          <w:rFonts w:asciiTheme="minorHAnsi" w:hAnsiTheme="minorHAnsi" w:cs="Times New Roman"/>
          <w:iCs/>
          <w:sz w:val="22"/>
          <w:szCs w:val="22"/>
        </w:rPr>
        <w:lastRenderedPageBreak/>
        <w:t>pada metode difusi agar</w:t>
      </w:r>
      <w:r w:rsidRPr="009377A8">
        <w:rPr>
          <w:rFonts w:asciiTheme="minorHAnsi" w:eastAsia="Times New Roman" w:hAnsiTheme="minorHAnsi" w:cs="Times New Roman"/>
          <w:sz w:val="22"/>
          <w:szCs w:val="22"/>
        </w:rPr>
        <w:t>, jika</w:t>
      </w:r>
      <w:r w:rsidRPr="009377A8">
        <w:rPr>
          <w:rFonts w:asciiTheme="minorHAnsi" w:eastAsia="Times New Roman" w:hAnsiTheme="minorHAnsi" w:cs="Times New Roman"/>
          <w:sz w:val="22"/>
          <w:szCs w:val="22"/>
          <w:lang w:val="en-US"/>
        </w:rPr>
        <w:t xml:space="preserve"> </w:t>
      </w:r>
      <w:r w:rsidRPr="009377A8">
        <w:rPr>
          <w:rFonts w:asciiTheme="minorHAnsi" w:eastAsia="Times New Roman" w:hAnsiTheme="minorHAnsi" w:cs="Times New Roman"/>
          <w:sz w:val="22"/>
          <w:szCs w:val="22"/>
        </w:rPr>
        <w:t>zona hambat terhadap bakteri lebih besar dari 6 mm dari suatu ekstrak, maka ekstrak tersebut dapat</w:t>
      </w:r>
      <w:r w:rsidRPr="009377A8">
        <w:rPr>
          <w:rFonts w:asciiTheme="minorHAnsi" w:eastAsia="Times New Roman" w:hAnsiTheme="minorHAnsi" w:cs="Times New Roman"/>
          <w:sz w:val="22"/>
          <w:szCs w:val="22"/>
          <w:lang w:val="en-US"/>
        </w:rPr>
        <w:t xml:space="preserve"> </w:t>
      </w:r>
      <w:proofErr w:type="spellStart"/>
      <w:r w:rsidRPr="009377A8">
        <w:rPr>
          <w:rFonts w:asciiTheme="minorHAnsi" w:eastAsia="Times New Roman" w:hAnsiTheme="minorHAnsi" w:cs="Times New Roman"/>
          <w:sz w:val="22"/>
          <w:szCs w:val="22"/>
          <w:lang w:val="en-US"/>
        </w:rPr>
        <w:t>dikatakan</w:t>
      </w:r>
      <w:proofErr w:type="spellEnd"/>
      <w:r w:rsidRPr="009377A8">
        <w:rPr>
          <w:rFonts w:asciiTheme="minorHAnsi" w:eastAsia="Times New Roman" w:hAnsiTheme="minorHAnsi" w:cs="Times New Roman"/>
          <w:sz w:val="22"/>
          <w:szCs w:val="22"/>
          <w:lang w:val="en-US"/>
        </w:rPr>
        <w:t xml:space="preserve"> </w:t>
      </w:r>
      <w:proofErr w:type="spellStart"/>
      <w:r w:rsidRPr="009377A8">
        <w:rPr>
          <w:rFonts w:asciiTheme="minorHAnsi" w:eastAsia="Times New Roman" w:hAnsiTheme="minorHAnsi" w:cs="Times New Roman"/>
          <w:sz w:val="22"/>
          <w:szCs w:val="22"/>
          <w:lang w:val="en-US"/>
        </w:rPr>
        <w:t>mempunyai</w:t>
      </w:r>
      <w:proofErr w:type="spellEnd"/>
      <w:r w:rsidRPr="009377A8">
        <w:rPr>
          <w:rFonts w:asciiTheme="minorHAnsi" w:eastAsia="Times New Roman" w:hAnsiTheme="minorHAnsi" w:cs="Times New Roman"/>
          <w:sz w:val="22"/>
          <w:szCs w:val="22"/>
          <w:lang w:val="en-US"/>
        </w:rPr>
        <w:t xml:space="preserve"> </w:t>
      </w:r>
      <w:proofErr w:type="spellStart"/>
      <w:r w:rsidRPr="009377A8">
        <w:rPr>
          <w:rFonts w:asciiTheme="minorHAnsi" w:eastAsia="Times New Roman" w:hAnsiTheme="minorHAnsi" w:cs="Times New Roman"/>
          <w:sz w:val="22"/>
          <w:szCs w:val="22"/>
          <w:lang w:val="en-US"/>
        </w:rPr>
        <w:t>aktivitas</w:t>
      </w:r>
      <w:proofErr w:type="spellEnd"/>
      <w:r w:rsidRPr="009377A8">
        <w:rPr>
          <w:rFonts w:asciiTheme="minorHAnsi" w:eastAsia="Times New Roman" w:hAnsiTheme="minorHAnsi" w:cs="Times New Roman"/>
          <w:sz w:val="22"/>
          <w:szCs w:val="22"/>
          <w:lang w:val="en-US"/>
        </w:rPr>
        <w:t xml:space="preserve"> </w:t>
      </w:r>
      <w:proofErr w:type="spellStart"/>
      <w:r w:rsidRPr="009377A8">
        <w:rPr>
          <w:rFonts w:asciiTheme="minorHAnsi" w:eastAsia="Times New Roman" w:hAnsiTheme="minorHAnsi" w:cs="Times New Roman"/>
          <w:sz w:val="22"/>
          <w:szCs w:val="22"/>
          <w:lang w:val="en-US"/>
        </w:rPr>
        <w:t>antibakteri</w:t>
      </w:r>
      <w:proofErr w:type="spellEnd"/>
      <w:r w:rsidRPr="009377A8">
        <w:rPr>
          <w:rFonts w:asciiTheme="minorHAnsi" w:eastAsia="Times New Roman" w:hAnsiTheme="minorHAnsi" w:cs="Times New Roman"/>
          <w:sz w:val="22"/>
          <w:szCs w:val="22"/>
        </w:rPr>
        <w:t xml:space="preserve">. Pada </w:t>
      </w:r>
      <w:r>
        <w:rPr>
          <w:rFonts w:asciiTheme="minorHAnsi" w:eastAsia="Times New Roman" w:hAnsiTheme="minorHAnsi" w:cs="Times New Roman"/>
          <w:sz w:val="22"/>
          <w:szCs w:val="22"/>
        </w:rPr>
        <w:t xml:space="preserve">konsentrasi lebih kecil dari </w:t>
      </w:r>
      <w:r w:rsidRPr="009377A8">
        <w:rPr>
          <w:rFonts w:asciiTheme="minorHAnsi" w:eastAsia="Times New Roman" w:hAnsiTheme="minorHAnsi" w:cs="Times New Roman"/>
          <w:sz w:val="22"/>
          <w:szCs w:val="22"/>
        </w:rPr>
        <w:t>2</w:t>
      </w:r>
      <w:r>
        <w:rPr>
          <w:rFonts w:asciiTheme="minorHAnsi" w:eastAsia="Times New Roman" w:hAnsiTheme="minorHAnsi" w:cs="Times New Roman"/>
          <w:sz w:val="22"/>
          <w:szCs w:val="22"/>
        </w:rPr>
        <w:t>,</w:t>
      </w:r>
      <w:r w:rsidRPr="009377A8">
        <w:rPr>
          <w:rFonts w:asciiTheme="minorHAnsi" w:eastAsia="Times New Roman" w:hAnsiTheme="minorHAnsi" w:cs="Times New Roman"/>
          <w:sz w:val="22"/>
          <w:szCs w:val="22"/>
        </w:rPr>
        <w:t xml:space="preserve">5%w/v </w:t>
      </w:r>
      <w:r w:rsidRPr="009377A8">
        <w:rPr>
          <w:rFonts w:asciiTheme="minorHAnsi" w:eastAsia="Times New Roman" w:hAnsiTheme="minorHAnsi" w:cs="Times New Roman"/>
          <w:sz w:val="22"/>
          <w:szCs w:val="22"/>
        </w:rPr>
        <w:lastRenderedPageBreak/>
        <w:t xml:space="preserve">dari EB, ED dan EKB tidak menunjukkan adanya zona hambat yang lebih besar 6,00 mm terhadap </w:t>
      </w:r>
      <w:r w:rsidRPr="009377A8">
        <w:rPr>
          <w:rFonts w:asciiTheme="minorHAnsi" w:eastAsia="Times New Roman" w:hAnsiTheme="minorHAnsi" w:cs="Times New Roman"/>
          <w:i/>
          <w:sz w:val="22"/>
          <w:szCs w:val="22"/>
        </w:rPr>
        <w:t xml:space="preserve">B.subtilis, S.aureus, P aureuginos, E.coli </w:t>
      </w:r>
      <w:r w:rsidRPr="009377A8">
        <w:rPr>
          <w:rFonts w:asciiTheme="minorHAnsi" w:eastAsia="Times New Roman" w:hAnsiTheme="minorHAnsi" w:cs="Times New Roman"/>
          <w:sz w:val="22"/>
          <w:szCs w:val="22"/>
        </w:rPr>
        <w:t xml:space="preserve">dan </w:t>
      </w:r>
      <w:r w:rsidRPr="009377A8">
        <w:rPr>
          <w:rFonts w:asciiTheme="minorHAnsi" w:eastAsia="Times New Roman" w:hAnsiTheme="minorHAnsi" w:cs="Times New Roman"/>
          <w:i/>
          <w:sz w:val="22"/>
          <w:szCs w:val="22"/>
        </w:rPr>
        <w:t>P.acnes</w:t>
      </w:r>
      <w:r w:rsidRPr="009377A8">
        <w:rPr>
          <w:rFonts w:asciiTheme="minorHAnsi" w:eastAsia="Times New Roman" w:hAnsiTheme="minorHAnsi" w:cs="Times New Roman"/>
          <w:sz w:val="22"/>
          <w:szCs w:val="22"/>
        </w:rPr>
        <w:t>.</w:t>
      </w:r>
    </w:p>
    <w:p w:rsidR="002B619D" w:rsidRDefault="002B619D" w:rsidP="002B619D">
      <w:pPr>
        <w:pStyle w:val="Default"/>
        <w:jc w:val="center"/>
        <w:rPr>
          <w:rFonts w:asciiTheme="minorHAnsi" w:eastAsia="Times New Roman" w:hAnsiTheme="minorHAnsi" w:cs="Times New Roman"/>
          <w:sz w:val="22"/>
          <w:szCs w:val="22"/>
        </w:rPr>
        <w:sectPr w:rsidR="002B619D" w:rsidSect="00F844D9">
          <w:type w:val="continuous"/>
          <w:pgSz w:w="11906" w:h="16838" w:code="9"/>
          <w:pgMar w:top="1418" w:right="1418" w:bottom="1418" w:left="1985" w:header="706" w:footer="706" w:gutter="0"/>
          <w:cols w:num="2" w:space="708"/>
          <w:docGrid w:linePitch="360"/>
        </w:sectPr>
      </w:pPr>
    </w:p>
    <w:p w:rsidR="002B619D" w:rsidRDefault="002B619D" w:rsidP="002B619D">
      <w:pPr>
        <w:pStyle w:val="Default"/>
        <w:jc w:val="center"/>
        <w:rPr>
          <w:rFonts w:asciiTheme="minorHAnsi" w:eastAsia="Times New Roman" w:hAnsiTheme="minorHAnsi" w:cs="Times New Roman"/>
          <w:sz w:val="22"/>
          <w:szCs w:val="22"/>
        </w:rPr>
      </w:pPr>
    </w:p>
    <w:p w:rsidR="002B619D" w:rsidRPr="009377A8" w:rsidRDefault="002B619D" w:rsidP="002B619D">
      <w:pPr>
        <w:pStyle w:val="Default"/>
        <w:jc w:val="center"/>
        <w:rPr>
          <w:rFonts w:asciiTheme="minorHAnsi" w:eastAsia="Times New Roman" w:hAnsiTheme="minorHAnsi" w:cs="Times New Roman"/>
          <w:sz w:val="22"/>
          <w:szCs w:val="22"/>
        </w:rPr>
      </w:pPr>
      <w:r w:rsidRPr="009377A8">
        <w:rPr>
          <w:rFonts w:asciiTheme="minorHAnsi" w:eastAsia="Times New Roman" w:hAnsiTheme="minorHAnsi" w:cs="Times New Roman"/>
          <w:sz w:val="22"/>
          <w:szCs w:val="22"/>
        </w:rPr>
        <w:t>Tabel 1. Skrining fitokimia</w:t>
      </w:r>
    </w:p>
    <w:tbl>
      <w:tblPr>
        <w:tblStyle w:val="TableGrid"/>
        <w:tblW w:w="7666" w:type="dxa"/>
        <w:tblInd w:w="522" w:type="dxa"/>
        <w:tblBorders>
          <w:left w:val="none" w:sz="0" w:space="0" w:color="auto"/>
          <w:right w:val="none" w:sz="0" w:space="0" w:color="auto"/>
        </w:tblBorders>
        <w:tblLook w:val="04A0" w:firstRow="1" w:lastRow="0" w:firstColumn="1" w:lastColumn="0" w:noHBand="0" w:noVBand="1"/>
      </w:tblPr>
      <w:tblGrid>
        <w:gridCol w:w="2106"/>
        <w:gridCol w:w="851"/>
        <w:gridCol w:w="850"/>
        <w:gridCol w:w="1010"/>
        <w:gridCol w:w="975"/>
        <w:gridCol w:w="843"/>
        <w:gridCol w:w="1031"/>
      </w:tblGrid>
      <w:tr w:rsidR="002B619D" w:rsidRPr="009377A8" w:rsidTr="00DB757A">
        <w:tc>
          <w:tcPr>
            <w:tcW w:w="2106" w:type="dxa"/>
            <w:vMerge w:val="restart"/>
            <w:tcBorders>
              <w:right w:val="nil"/>
            </w:tcBorders>
          </w:tcPr>
          <w:p w:rsidR="002B619D" w:rsidRPr="00963AFB" w:rsidRDefault="002B619D" w:rsidP="00DB757A">
            <w:pPr>
              <w:jc w:val="both"/>
              <w:rPr>
                <w:rFonts w:cs="Times New Roman"/>
                <w:sz w:val="20"/>
                <w:szCs w:val="20"/>
              </w:rPr>
            </w:pPr>
          </w:p>
          <w:p w:rsidR="002B619D" w:rsidRPr="00963AFB" w:rsidRDefault="002B619D" w:rsidP="00DB757A">
            <w:pPr>
              <w:tabs>
                <w:tab w:val="left" w:pos="1818"/>
              </w:tabs>
              <w:jc w:val="both"/>
              <w:rPr>
                <w:rFonts w:cs="Times New Roman"/>
                <w:sz w:val="20"/>
                <w:szCs w:val="20"/>
              </w:rPr>
            </w:pPr>
            <w:r w:rsidRPr="00963AFB">
              <w:rPr>
                <w:rFonts w:cs="Times New Roman"/>
                <w:sz w:val="20"/>
                <w:szCs w:val="20"/>
              </w:rPr>
              <w:t>Golongan Senyawa</w:t>
            </w:r>
          </w:p>
        </w:tc>
        <w:tc>
          <w:tcPr>
            <w:tcW w:w="2711" w:type="dxa"/>
            <w:gridSpan w:val="3"/>
            <w:tcBorders>
              <w:left w:val="nil"/>
              <w:bottom w:val="single" w:sz="4" w:space="0" w:color="auto"/>
              <w:right w:val="nil"/>
            </w:tcBorders>
          </w:tcPr>
          <w:p w:rsidR="002B619D" w:rsidRPr="00963AFB" w:rsidRDefault="002B619D" w:rsidP="00DB757A">
            <w:pPr>
              <w:jc w:val="center"/>
              <w:rPr>
                <w:rFonts w:cs="Times New Roman"/>
                <w:sz w:val="20"/>
                <w:szCs w:val="20"/>
              </w:rPr>
            </w:pPr>
            <w:r w:rsidRPr="00963AFB">
              <w:rPr>
                <w:rFonts w:cs="Times New Roman"/>
                <w:sz w:val="20"/>
                <w:szCs w:val="20"/>
              </w:rPr>
              <w:t>Simplisia</w:t>
            </w:r>
          </w:p>
        </w:tc>
        <w:tc>
          <w:tcPr>
            <w:tcW w:w="2849" w:type="dxa"/>
            <w:gridSpan w:val="3"/>
            <w:tcBorders>
              <w:left w:val="nil"/>
              <w:bottom w:val="single" w:sz="4" w:space="0" w:color="auto"/>
            </w:tcBorders>
          </w:tcPr>
          <w:p w:rsidR="002B619D" w:rsidRPr="00963AFB" w:rsidRDefault="002B619D" w:rsidP="00DB757A">
            <w:pPr>
              <w:jc w:val="center"/>
              <w:rPr>
                <w:rFonts w:cs="Times New Roman"/>
                <w:sz w:val="20"/>
                <w:szCs w:val="20"/>
              </w:rPr>
            </w:pPr>
            <w:r w:rsidRPr="00963AFB">
              <w:rPr>
                <w:rFonts w:cs="Times New Roman"/>
                <w:sz w:val="20"/>
                <w:szCs w:val="20"/>
              </w:rPr>
              <w:t>Ekstrak</w:t>
            </w:r>
          </w:p>
        </w:tc>
      </w:tr>
      <w:tr w:rsidR="002B619D" w:rsidRPr="009377A8" w:rsidTr="00DB757A">
        <w:tc>
          <w:tcPr>
            <w:tcW w:w="2106" w:type="dxa"/>
            <w:vMerge/>
            <w:tcBorders>
              <w:bottom w:val="single" w:sz="4" w:space="0" w:color="auto"/>
              <w:right w:val="nil"/>
            </w:tcBorders>
          </w:tcPr>
          <w:p w:rsidR="002B619D" w:rsidRPr="00963AFB" w:rsidRDefault="002B619D" w:rsidP="00DB757A">
            <w:pPr>
              <w:jc w:val="both"/>
              <w:rPr>
                <w:rFonts w:cs="Times New Roman"/>
                <w:sz w:val="20"/>
                <w:szCs w:val="20"/>
              </w:rPr>
            </w:pPr>
          </w:p>
        </w:tc>
        <w:tc>
          <w:tcPr>
            <w:tcW w:w="851" w:type="dxa"/>
            <w:tcBorders>
              <w:left w:val="nil"/>
              <w:bottom w:val="single" w:sz="4" w:space="0" w:color="auto"/>
              <w:right w:val="nil"/>
            </w:tcBorders>
          </w:tcPr>
          <w:p w:rsidR="002B619D" w:rsidRPr="00963AFB" w:rsidRDefault="002B619D" w:rsidP="00DB757A">
            <w:pPr>
              <w:jc w:val="center"/>
              <w:rPr>
                <w:rFonts w:cs="Times New Roman"/>
                <w:sz w:val="20"/>
                <w:szCs w:val="20"/>
              </w:rPr>
            </w:pPr>
            <w:r w:rsidRPr="00963AFB">
              <w:rPr>
                <w:rFonts w:cs="Times New Roman"/>
                <w:sz w:val="20"/>
                <w:szCs w:val="20"/>
              </w:rPr>
              <w:t>Daun</w:t>
            </w:r>
          </w:p>
        </w:tc>
        <w:tc>
          <w:tcPr>
            <w:tcW w:w="850" w:type="dxa"/>
            <w:tcBorders>
              <w:left w:val="nil"/>
              <w:bottom w:val="single" w:sz="4" w:space="0" w:color="auto"/>
              <w:right w:val="nil"/>
            </w:tcBorders>
          </w:tcPr>
          <w:p w:rsidR="002B619D" w:rsidRPr="00963AFB" w:rsidRDefault="002B619D" w:rsidP="00DB757A">
            <w:pPr>
              <w:jc w:val="center"/>
              <w:rPr>
                <w:rFonts w:cs="Times New Roman"/>
                <w:sz w:val="20"/>
                <w:szCs w:val="20"/>
              </w:rPr>
            </w:pPr>
            <w:r w:rsidRPr="00963AFB">
              <w:rPr>
                <w:rFonts w:cs="Times New Roman"/>
                <w:sz w:val="20"/>
                <w:szCs w:val="20"/>
              </w:rPr>
              <w:t>Buah</w:t>
            </w:r>
          </w:p>
        </w:tc>
        <w:tc>
          <w:tcPr>
            <w:tcW w:w="1010" w:type="dxa"/>
            <w:tcBorders>
              <w:left w:val="nil"/>
              <w:bottom w:val="single" w:sz="4" w:space="0" w:color="auto"/>
              <w:right w:val="nil"/>
            </w:tcBorders>
          </w:tcPr>
          <w:p w:rsidR="002B619D" w:rsidRPr="00963AFB" w:rsidRDefault="002B619D" w:rsidP="00DB757A">
            <w:pPr>
              <w:jc w:val="center"/>
              <w:rPr>
                <w:rFonts w:cs="Times New Roman"/>
                <w:sz w:val="20"/>
                <w:szCs w:val="20"/>
              </w:rPr>
            </w:pPr>
            <w:r w:rsidRPr="00963AFB">
              <w:rPr>
                <w:rFonts w:cs="Times New Roman"/>
                <w:sz w:val="20"/>
                <w:szCs w:val="20"/>
              </w:rPr>
              <w:t>Kulit Batang</w:t>
            </w:r>
          </w:p>
        </w:tc>
        <w:tc>
          <w:tcPr>
            <w:tcW w:w="975" w:type="dxa"/>
            <w:tcBorders>
              <w:left w:val="nil"/>
              <w:bottom w:val="single" w:sz="4" w:space="0" w:color="auto"/>
              <w:right w:val="nil"/>
            </w:tcBorders>
          </w:tcPr>
          <w:p w:rsidR="002B619D" w:rsidRPr="00963AFB" w:rsidRDefault="002B619D" w:rsidP="00DB757A">
            <w:pPr>
              <w:jc w:val="center"/>
              <w:rPr>
                <w:rFonts w:cs="Times New Roman"/>
                <w:sz w:val="20"/>
                <w:szCs w:val="20"/>
              </w:rPr>
            </w:pPr>
            <w:r w:rsidRPr="00963AFB">
              <w:rPr>
                <w:rFonts w:cs="Times New Roman"/>
                <w:sz w:val="20"/>
                <w:szCs w:val="20"/>
              </w:rPr>
              <w:t>Daun</w:t>
            </w:r>
          </w:p>
        </w:tc>
        <w:tc>
          <w:tcPr>
            <w:tcW w:w="843" w:type="dxa"/>
            <w:tcBorders>
              <w:left w:val="nil"/>
              <w:bottom w:val="single" w:sz="4" w:space="0" w:color="auto"/>
              <w:right w:val="nil"/>
            </w:tcBorders>
          </w:tcPr>
          <w:p w:rsidR="002B619D" w:rsidRPr="00963AFB" w:rsidRDefault="002B619D" w:rsidP="00DB757A">
            <w:pPr>
              <w:jc w:val="center"/>
              <w:rPr>
                <w:rFonts w:cs="Times New Roman"/>
                <w:sz w:val="20"/>
                <w:szCs w:val="20"/>
              </w:rPr>
            </w:pPr>
            <w:r w:rsidRPr="00963AFB">
              <w:rPr>
                <w:rFonts w:cs="Times New Roman"/>
                <w:sz w:val="20"/>
                <w:szCs w:val="20"/>
              </w:rPr>
              <w:t>Buah</w:t>
            </w:r>
          </w:p>
        </w:tc>
        <w:tc>
          <w:tcPr>
            <w:tcW w:w="1031" w:type="dxa"/>
            <w:tcBorders>
              <w:left w:val="nil"/>
              <w:bottom w:val="single" w:sz="4" w:space="0" w:color="auto"/>
            </w:tcBorders>
          </w:tcPr>
          <w:p w:rsidR="002B619D" w:rsidRPr="00963AFB" w:rsidRDefault="002B619D" w:rsidP="00DB757A">
            <w:pPr>
              <w:jc w:val="center"/>
              <w:rPr>
                <w:rFonts w:cs="Times New Roman"/>
                <w:sz w:val="20"/>
                <w:szCs w:val="20"/>
              </w:rPr>
            </w:pPr>
            <w:r w:rsidRPr="00963AFB">
              <w:rPr>
                <w:rFonts w:cs="Times New Roman"/>
                <w:sz w:val="20"/>
                <w:szCs w:val="20"/>
              </w:rPr>
              <w:t>Kulit Batang</w:t>
            </w:r>
          </w:p>
        </w:tc>
      </w:tr>
      <w:tr w:rsidR="002B619D" w:rsidRPr="009377A8" w:rsidTr="00DB757A">
        <w:tc>
          <w:tcPr>
            <w:tcW w:w="2106" w:type="dxa"/>
            <w:tcBorders>
              <w:bottom w:val="nil"/>
              <w:right w:val="nil"/>
            </w:tcBorders>
          </w:tcPr>
          <w:p w:rsidR="002B619D" w:rsidRPr="00963AFB" w:rsidRDefault="002B619D" w:rsidP="00DB757A">
            <w:pPr>
              <w:jc w:val="both"/>
              <w:rPr>
                <w:rFonts w:cs="Times New Roman"/>
                <w:sz w:val="20"/>
                <w:szCs w:val="20"/>
              </w:rPr>
            </w:pPr>
            <w:r w:rsidRPr="00963AFB">
              <w:rPr>
                <w:rFonts w:cs="Times New Roman"/>
                <w:sz w:val="20"/>
                <w:szCs w:val="20"/>
              </w:rPr>
              <w:t>Alkaloid</w:t>
            </w:r>
          </w:p>
        </w:tc>
        <w:tc>
          <w:tcPr>
            <w:tcW w:w="851" w:type="dxa"/>
            <w:tcBorders>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850" w:type="dxa"/>
            <w:tcBorders>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1010" w:type="dxa"/>
            <w:tcBorders>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975" w:type="dxa"/>
            <w:tcBorders>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843" w:type="dxa"/>
            <w:tcBorders>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1031" w:type="dxa"/>
            <w:tcBorders>
              <w:left w:val="nil"/>
              <w:bottom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r>
      <w:tr w:rsidR="002B619D" w:rsidRPr="009377A8" w:rsidTr="00DB757A">
        <w:tc>
          <w:tcPr>
            <w:tcW w:w="2106" w:type="dxa"/>
            <w:tcBorders>
              <w:top w:val="nil"/>
              <w:bottom w:val="nil"/>
              <w:right w:val="nil"/>
            </w:tcBorders>
          </w:tcPr>
          <w:p w:rsidR="002B619D" w:rsidRPr="00963AFB" w:rsidRDefault="002B619D" w:rsidP="00DB757A">
            <w:pPr>
              <w:jc w:val="both"/>
              <w:rPr>
                <w:rFonts w:cs="Times New Roman"/>
                <w:sz w:val="20"/>
                <w:szCs w:val="20"/>
              </w:rPr>
            </w:pPr>
            <w:r w:rsidRPr="00963AFB">
              <w:rPr>
                <w:rFonts w:cs="Times New Roman"/>
                <w:sz w:val="20"/>
                <w:szCs w:val="20"/>
              </w:rPr>
              <w:t>Flavonoid</w:t>
            </w:r>
          </w:p>
        </w:tc>
        <w:tc>
          <w:tcPr>
            <w:tcW w:w="851" w:type="dxa"/>
            <w:tcBorders>
              <w:top w:val="nil"/>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850" w:type="dxa"/>
            <w:tcBorders>
              <w:top w:val="nil"/>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1010" w:type="dxa"/>
            <w:tcBorders>
              <w:top w:val="nil"/>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975" w:type="dxa"/>
            <w:tcBorders>
              <w:top w:val="nil"/>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843" w:type="dxa"/>
            <w:tcBorders>
              <w:top w:val="nil"/>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1031" w:type="dxa"/>
            <w:tcBorders>
              <w:top w:val="nil"/>
              <w:left w:val="nil"/>
              <w:bottom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r>
      <w:tr w:rsidR="002B619D" w:rsidRPr="009377A8" w:rsidTr="00DB757A">
        <w:tc>
          <w:tcPr>
            <w:tcW w:w="2106" w:type="dxa"/>
            <w:tcBorders>
              <w:top w:val="nil"/>
              <w:bottom w:val="nil"/>
              <w:right w:val="nil"/>
            </w:tcBorders>
          </w:tcPr>
          <w:p w:rsidR="002B619D" w:rsidRPr="00963AFB" w:rsidRDefault="002B619D" w:rsidP="00DB757A">
            <w:pPr>
              <w:jc w:val="both"/>
              <w:rPr>
                <w:rFonts w:cs="Times New Roman"/>
                <w:sz w:val="20"/>
                <w:szCs w:val="20"/>
              </w:rPr>
            </w:pPr>
            <w:r w:rsidRPr="00963AFB">
              <w:rPr>
                <w:rFonts w:cs="Times New Roman"/>
                <w:sz w:val="20"/>
                <w:szCs w:val="20"/>
              </w:rPr>
              <w:t xml:space="preserve">Tannin </w:t>
            </w:r>
          </w:p>
        </w:tc>
        <w:tc>
          <w:tcPr>
            <w:tcW w:w="851" w:type="dxa"/>
            <w:tcBorders>
              <w:top w:val="nil"/>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850" w:type="dxa"/>
            <w:tcBorders>
              <w:top w:val="nil"/>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1010" w:type="dxa"/>
            <w:tcBorders>
              <w:top w:val="nil"/>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975" w:type="dxa"/>
            <w:tcBorders>
              <w:top w:val="nil"/>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843" w:type="dxa"/>
            <w:tcBorders>
              <w:top w:val="nil"/>
              <w:left w:val="nil"/>
              <w:bottom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1031" w:type="dxa"/>
            <w:tcBorders>
              <w:top w:val="nil"/>
              <w:left w:val="nil"/>
              <w:bottom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r>
      <w:tr w:rsidR="002B619D" w:rsidRPr="009377A8" w:rsidTr="00DB757A">
        <w:tc>
          <w:tcPr>
            <w:tcW w:w="2106" w:type="dxa"/>
            <w:tcBorders>
              <w:top w:val="nil"/>
              <w:bottom w:val="nil"/>
              <w:right w:val="nil"/>
            </w:tcBorders>
          </w:tcPr>
          <w:p w:rsidR="002B619D" w:rsidRPr="00963AFB" w:rsidRDefault="002B619D" w:rsidP="00DB757A">
            <w:pPr>
              <w:rPr>
                <w:rFonts w:cs="Times New Roman"/>
                <w:sz w:val="20"/>
                <w:szCs w:val="20"/>
              </w:rPr>
            </w:pPr>
            <w:r w:rsidRPr="00963AFB">
              <w:rPr>
                <w:rFonts w:cs="Times New Roman"/>
                <w:sz w:val="20"/>
                <w:szCs w:val="20"/>
              </w:rPr>
              <w:t>Monoterpen dan Seskuiterpen</w:t>
            </w:r>
          </w:p>
        </w:tc>
        <w:tc>
          <w:tcPr>
            <w:tcW w:w="851"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850"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1010"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975"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843"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1031" w:type="dxa"/>
            <w:tcBorders>
              <w:top w:val="nil"/>
              <w:left w:val="nil"/>
              <w:bottom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r>
      <w:tr w:rsidR="002B619D" w:rsidRPr="009377A8" w:rsidTr="00DB757A">
        <w:tc>
          <w:tcPr>
            <w:tcW w:w="2106" w:type="dxa"/>
            <w:tcBorders>
              <w:top w:val="nil"/>
              <w:bottom w:val="nil"/>
              <w:right w:val="nil"/>
            </w:tcBorders>
          </w:tcPr>
          <w:p w:rsidR="002B619D" w:rsidRPr="00963AFB" w:rsidRDefault="002B619D" w:rsidP="00DB757A">
            <w:pPr>
              <w:rPr>
                <w:rFonts w:cs="Times New Roman"/>
                <w:sz w:val="20"/>
                <w:szCs w:val="20"/>
              </w:rPr>
            </w:pPr>
            <w:r w:rsidRPr="00963AFB">
              <w:rPr>
                <w:rFonts w:cs="Times New Roman"/>
                <w:sz w:val="20"/>
                <w:szCs w:val="20"/>
              </w:rPr>
              <w:t>Steroid dan Terpenoid</w:t>
            </w:r>
          </w:p>
        </w:tc>
        <w:tc>
          <w:tcPr>
            <w:tcW w:w="851"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850"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1010"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975"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843"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1031" w:type="dxa"/>
            <w:tcBorders>
              <w:top w:val="nil"/>
              <w:left w:val="nil"/>
              <w:bottom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r>
      <w:tr w:rsidR="002B619D" w:rsidRPr="009377A8" w:rsidTr="00DB757A">
        <w:tc>
          <w:tcPr>
            <w:tcW w:w="2106" w:type="dxa"/>
            <w:tcBorders>
              <w:top w:val="nil"/>
              <w:bottom w:val="nil"/>
              <w:right w:val="nil"/>
            </w:tcBorders>
          </w:tcPr>
          <w:p w:rsidR="002B619D" w:rsidRPr="00963AFB" w:rsidRDefault="002B619D" w:rsidP="00DB757A">
            <w:pPr>
              <w:jc w:val="both"/>
              <w:rPr>
                <w:rFonts w:cs="Times New Roman"/>
                <w:sz w:val="20"/>
                <w:szCs w:val="20"/>
              </w:rPr>
            </w:pPr>
            <w:r w:rsidRPr="00963AFB">
              <w:rPr>
                <w:rFonts w:cs="Times New Roman"/>
                <w:sz w:val="20"/>
                <w:szCs w:val="20"/>
              </w:rPr>
              <w:t>Kuinon</w:t>
            </w:r>
          </w:p>
        </w:tc>
        <w:tc>
          <w:tcPr>
            <w:tcW w:w="851"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850"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1010"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975"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843" w:type="dxa"/>
            <w:tcBorders>
              <w:top w:val="nil"/>
              <w:left w:val="nil"/>
              <w:bottom w:val="nil"/>
              <w:right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c>
          <w:tcPr>
            <w:tcW w:w="1031" w:type="dxa"/>
            <w:tcBorders>
              <w:top w:val="nil"/>
              <w:left w:val="nil"/>
              <w:bottom w:val="nil"/>
            </w:tcBorders>
          </w:tcPr>
          <w:p w:rsidR="002B619D" w:rsidRPr="00963AFB" w:rsidRDefault="002B619D" w:rsidP="00DB757A">
            <w:pPr>
              <w:jc w:val="center"/>
              <w:rPr>
                <w:rFonts w:cs="Times New Roman"/>
                <w:b/>
                <w:sz w:val="20"/>
                <w:szCs w:val="20"/>
              </w:rPr>
            </w:pPr>
            <w:r w:rsidRPr="00963AFB">
              <w:rPr>
                <w:rFonts w:cs="Times New Roman"/>
                <w:b/>
                <w:sz w:val="20"/>
                <w:szCs w:val="20"/>
              </w:rPr>
              <w:t>-</w:t>
            </w:r>
          </w:p>
        </w:tc>
      </w:tr>
      <w:tr w:rsidR="002B619D" w:rsidRPr="009377A8" w:rsidTr="00DB757A">
        <w:tc>
          <w:tcPr>
            <w:tcW w:w="2106" w:type="dxa"/>
            <w:tcBorders>
              <w:top w:val="nil"/>
              <w:right w:val="nil"/>
            </w:tcBorders>
          </w:tcPr>
          <w:p w:rsidR="002B619D" w:rsidRPr="00963AFB" w:rsidRDefault="002B619D" w:rsidP="00DB757A">
            <w:pPr>
              <w:jc w:val="both"/>
              <w:rPr>
                <w:rFonts w:cs="Times New Roman"/>
                <w:sz w:val="20"/>
                <w:szCs w:val="20"/>
              </w:rPr>
            </w:pPr>
            <w:r w:rsidRPr="00963AFB">
              <w:rPr>
                <w:rFonts w:cs="Times New Roman"/>
                <w:sz w:val="20"/>
                <w:szCs w:val="20"/>
              </w:rPr>
              <w:t>Saponin</w:t>
            </w:r>
          </w:p>
        </w:tc>
        <w:tc>
          <w:tcPr>
            <w:tcW w:w="851" w:type="dxa"/>
            <w:tcBorders>
              <w:top w:val="nil"/>
              <w:left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850" w:type="dxa"/>
            <w:tcBorders>
              <w:top w:val="nil"/>
              <w:left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1010" w:type="dxa"/>
            <w:tcBorders>
              <w:top w:val="nil"/>
              <w:left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975" w:type="dxa"/>
            <w:tcBorders>
              <w:top w:val="nil"/>
              <w:left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843" w:type="dxa"/>
            <w:tcBorders>
              <w:top w:val="nil"/>
              <w:left w:val="nil"/>
              <w:righ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c>
          <w:tcPr>
            <w:tcW w:w="1031" w:type="dxa"/>
            <w:tcBorders>
              <w:top w:val="nil"/>
              <w:left w:val="nil"/>
            </w:tcBorders>
          </w:tcPr>
          <w:p w:rsidR="002B619D" w:rsidRPr="00963AFB" w:rsidRDefault="002B619D" w:rsidP="00DB757A">
            <w:pPr>
              <w:jc w:val="center"/>
              <w:rPr>
                <w:rFonts w:cs="Times New Roman"/>
                <w:sz w:val="20"/>
                <w:szCs w:val="20"/>
              </w:rPr>
            </w:pPr>
            <w:r w:rsidRPr="00963AFB">
              <w:rPr>
                <w:rFonts w:cs="Times New Roman"/>
                <w:sz w:val="20"/>
                <w:szCs w:val="20"/>
              </w:rPr>
              <w:t>+</w:t>
            </w:r>
          </w:p>
        </w:tc>
      </w:tr>
    </w:tbl>
    <w:p w:rsidR="002B619D" w:rsidRDefault="002B619D" w:rsidP="002B619D">
      <w:pPr>
        <w:pStyle w:val="Default"/>
        <w:jc w:val="both"/>
        <w:rPr>
          <w:rFonts w:asciiTheme="minorHAnsi" w:eastAsia="Times New Roman" w:hAnsiTheme="minorHAnsi" w:cs="Times New Roman"/>
          <w:sz w:val="22"/>
          <w:szCs w:val="22"/>
        </w:rPr>
      </w:pPr>
    </w:p>
    <w:p w:rsidR="002B619D" w:rsidRDefault="002B619D" w:rsidP="002B619D">
      <w:pPr>
        <w:pStyle w:val="Default"/>
        <w:jc w:val="both"/>
        <w:rPr>
          <w:rFonts w:asciiTheme="minorHAnsi" w:eastAsia="Times New Roman" w:hAnsiTheme="minorHAnsi" w:cs="Times New Roman"/>
          <w:sz w:val="22"/>
          <w:szCs w:val="22"/>
        </w:rPr>
      </w:pPr>
      <w:r w:rsidRPr="009377A8">
        <w:rPr>
          <w:rFonts w:asciiTheme="minorHAnsi" w:eastAsia="Times New Roman" w:hAnsiTheme="minorHAnsi" w:cs="Times New Roman"/>
          <w:sz w:val="22"/>
          <w:szCs w:val="22"/>
        </w:rPr>
        <w:t xml:space="preserve"> </w:t>
      </w:r>
      <w:r w:rsidRPr="009377A8">
        <w:rPr>
          <w:rFonts w:asciiTheme="minorHAnsi" w:hAnsiTheme="minorHAnsi" w:cs="Times New Roman"/>
          <w:noProof/>
          <w:sz w:val="22"/>
          <w:szCs w:val="22"/>
          <w:lang w:eastAsia="id-ID"/>
        </w:rPr>
        <w:drawing>
          <wp:inline distT="0" distB="0" distL="0" distR="0" wp14:anchorId="3329EFE3" wp14:editId="6AE4A503">
            <wp:extent cx="2505075" cy="15525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9377A8">
        <w:rPr>
          <w:rFonts w:asciiTheme="minorHAnsi" w:eastAsia="Times New Roman" w:hAnsiTheme="minorHAnsi" w:cs="Times New Roman"/>
          <w:sz w:val="22"/>
          <w:szCs w:val="22"/>
        </w:rPr>
        <w:t xml:space="preserve">  </w:t>
      </w:r>
      <w:r>
        <w:rPr>
          <w:rFonts w:asciiTheme="minorHAnsi" w:eastAsia="Times New Roman" w:hAnsiTheme="minorHAnsi" w:cs="Times New Roman"/>
          <w:sz w:val="22"/>
          <w:szCs w:val="22"/>
        </w:rPr>
        <w:t xml:space="preserve">  </w:t>
      </w:r>
      <w:r w:rsidRPr="009377A8">
        <w:rPr>
          <w:rFonts w:asciiTheme="minorHAnsi" w:eastAsia="Times New Roman" w:hAnsiTheme="minorHAnsi" w:cs="Times New Roman"/>
          <w:sz w:val="22"/>
          <w:szCs w:val="22"/>
        </w:rPr>
        <w:t xml:space="preserve"> </w:t>
      </w:r>
      <w:r>
        <w:rPr>
          <w:noProof/>
          <w:lang w:eastAsia="id-ID"/>
        </w:rPr>
        <w:drawing>
          <wp:inline distT="0" distB="0" distL="0" distR="0" wp14:anchorId="609B6437" wp14:editId="4460830C">
            <wp:extent cx="2609850" cy="154305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9377A8">
        <w:rPr>
          <w:rFonts w:asciiTheme="minorHAnsi" w:eastAsia="Times New Roman" w:hAnsiTheme="minorHAnsi" w:cs="Times New Roman"/>
          <w:sz w:val="22"/>
          <w:szCs w:val="22"/>
        </w:rPr>
        <w:t xml:space="preserve">        </w:t>
      </w:r>
    </w:p>
    <w:p w:rsidR="002B619D" w:rsidRPr="009377A8" w:rsidRDefault="002B619D" w:rsidP="002B619D">
      <w:pPr>
        <w:pStyle w:val="Default"/>
        <w:jc w:val="both"/>
        <w:rPr>
          <w:rFonts w:asciiTheme="minorHAnsi" w:eastAsia="Times New Roman" w:hAnsiTheme="minorHAnsi" w:cs="Times New Roman"/>
          <w:sz w:val="22"/>
          <w:szCs w:val="22"/>
        </w:rPr>
      </w:pPr>
      <w:r w:rsidRPr="009377A8">
        <w:rPr>
          <w:rFonts w:asciiTheme="minorHAnsi" w:eastAsia="Times New Roman" w:hAnsiTheme="minorHAnsi" w:cs="Times New Roman"/>
          <w:sz w:val="22"/>
          <w:szCs w:val="22"/>
        </w:rPr>
        <w:t xml:space="preserve">               </w:t>
      </w:r>
      <w:r>
        <w:rPr>
          <w:rFonts w:asciiTheme="minorHAnsi" w:eastAsia="Times New Roman" w:hAnsiTheme="minorHAnsi" w:cs="Times New Roman"/>
          <w:sz w:val="22"/>
          <w:szCs w:val="22"/>
        </w:rPr>
        <w:t xml:space="preserve">    </w:t>
      </w:r>
      <w:r w:rsidRPr="009377A8">
        <w:rPr>
          <w:rFonts w:asciiTheme="minorHAnsi" w:eastAsia="Times New Roman" w:hAnsiTheme="minorHAnsi" w:cs="Times New Roman"/>
          <w:sz w:val="22"/>
          <w:szCs w:val="22"/>
        </w:rPr>
        <w:t xml:space="preserve">                      </w:t>
      </w:r>
    </w:p>
    <w:p w:rsidR="002B619D" w:rsidRDefault="002B619D" w:rsidP="002B619D">
      <w:pPr>
        <w:pStyle w:val="Default"/>
        <w:jc w:val="both"/>
        <w:rPr>
          <w:rFonts w:asciiTheme="minorHAnsi" w:eastAsia="Times New Roman" w:hAnsiTheme="minorHAnsi" w:cs="Times New Roman"/>
          <w:sz w:val="22"/>
          <w:szCs w:val="22"/>
        </w:rPr>
      </w:pPr>
      <w:r>
        <w:rPr>
          <w:rFonts w:asciiTheme="minorHAnsi" w:eastAsia="Times New Roman" w:hAnsiTheme="minorHAnsi" w:cs="Times New Roman"/>
          <w:sz w:val="22"/>
          <w:szCs w:val="22"/>
        </w:rPr>
        <w:t xml:space="preserve"> </w:t>
      </w:r>
      <w:r w:rsidRPr="009377A8">
        <w:rPr>
          <w:rFonts w:asciiTheme="minorHAnsi" w:hAnsiTheme="minorHAnsi" w:cs="Times New Roman"/>
          <w:noProof/>
          <w:sz w:val="22"/>
          <w:szCs w:val="22"/>
          <w:lang w:eastAsia="id-ID"/>
        </w:rPr>
        <w:drawing>
          <wp:inline distT="0" distB="0" distL="0" distR="0" wp14:anchorId="459040DF" wp14:editId="4A1578DD">
            <wp:extent cx="2505075" cy="15716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377A8">
        <w:rPr>
          <w:rFonts w:asciiTheme="minorHAnsi" w:eastAsia="Times New Roman" w:hAnsiTheme="minorHAnsi" w:cs="Times New Roman"/>
          <w:sz w:val="22"/>
          <w:szCs w:val="22"/>
        </w:rPr>
        <w:t xml:space="preserve">     </w:t>
      </w:r>
      <w:r w:rsidRPr="009377A8">
        <w:rPr>
          <w:rFonts w:asciiTheme="minorHAnsi" w:hAnsiTheme="minorHAnsi" w:cs="Times New Roman"/>
          <w:noProof/>
          <w:sz w:val="22"/>
          <w:szCs w:val="22"/>
          <w:lang w:eastAsia="id-ID"/>
        </w:rPr>
        <w:drawing>
          <wp:inline distT="0" distB="0" distL="0" distR="0" wp14:anchorId="34CA858F" wp14:editId="58729F88">
            <wp:extent cx="2619375" cy="15621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619D" w:rsidRPr="009377A8" w:rsidRDefault="002B619D" w:rsidP="002B619D">
      <w:pPr>
        <w:pStyle w:val="Default"/>
        <w:jc w:val="both"/>
        <w:rPr>
          <w:rFonts w:asciiTheme="minorHAnsi" w:eastAsia="Times New Roman" w:hAnsiTheme="minorHAnsi" w:cs="Times New Roman"/>
          <w:sz w:val="22"/>
          <w:szCs w:val="22"/>
        </w:rPr>
      </w:pPr>
    </w:p>
    <w:p w:rsidR="002B619D" w:rsidRPr="009377A8" w:rsidRDefault="002B619D" w:rsidP="002B619D">
      <w:pPr>
        <w:pStyle w:val="Default"/>
        <w:jc w:val="both"/>
        <w:rPr>
          <w:rFonts w:asciiTheme="minorHAnsi" w:eastAsia="Times New Roman" w:hAnsiTheme="minorHAnsi" w:cs="Times New Roman"/>
          <w:b/>
          <w:sz w:val="22"/>
          <w:szCs w:val="22"/>
        </w:rPr>
      </w:pPr>
      <w:r>
        <w:rPr>
          <w:rFonts w:asciiTheme="minorHAnsi" w:eastAsia="Times New Roman" w:hAnsiTheme="minorHAnsi" w:cs="Times New Roman"/>
          <w:b/>
          <w:sz w:val="22"/>
          <w:szCs w:val="22"/>
        </w:rPr>
        <w:t xml:space="preserve"> </w:t>
      </w:r>
      <w:r w:rsidRPr="009377A8">
        <w:rPr>
          <w:rFonts w:asciiTheme="minorHAnsi" w:hAnsiTheme="minorHAnsi"/>
          <w:noProof/>
          <w:sz w:val="22"/>
          <w:szCs w:val="22"/>
          <w:lang w:eastAsia="id-ID"/>
        </w:rPr>
        <w:drawing>
          <wp:inline distT="0" distB="0" distL="0" distR="0" wp14:anchorId="405F036A" wp14:editId="1812DFA3">
            <wp:extent cx="2514600" cy="145732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heme="minorHAnsi" w:eastAsia="Times New Roman" w:hAnsiTheme="minorHAnsi" w:cs="Times New Roman"/>
          <w:b/>
          <w:sz w:val="22"/>
          <w:szCs w:val="22"/>
        </w:rPr>
        <w:t xml:space="preserve">    </w:t>
      </w:r>
      <w:r w:rsidRPr="009377A8">
        <w:rPr>
          <w:rFonts w:asciiTheme="minorHAnsi" w:hAnsiTheme="minorHAnsi"/>
          <w:noProof/>
          <w:sz w:val="22"/>
          <w:szCs w:val="22"/>
          <w:lang w:eastAsia="id-ID"/>
        </w:rPr>
        <w:drawing>
          <wp:inline distT="0" distB="0" distL="0" distR="0" wp14:anchorId="271A39CC" wp14:editId="342808D3">
            <wp:extent cx="2628900" cy="147637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619D" w:rsidRPr="009377A8" w:rsidRDefault="002B619D" w:rsidP="002B619D">
      <w:pPr>
        <w:pStyle w:val="Default"/>
        <w:jc w:val="center"/>
        <w:rPr>
          <w:rFonts w:asciiTheme="minorHAnsi" w:eastAsia="Times New Roman" w:hAnsiTheme="minorHAnsi" w:cs="Times New Roman"/>
          <w:sz w:val="22"/>
          <w:szCs w:val="22"/>
        </w:rPr>
      </w:pPr>
      <w:r w:rsidRPr="009377A8">
        <w:rPr>
          <w:rFonts w:asciiTheme="minorHAnsi" w:eastAsia="Times New Roman" w:hAnsiTheme="minorHAnsi" w:cs="Times New Roman"/>
          <w:sz w:val="22"/>
          <w:szCs w:val="22"/>
        </w:rPr>
        <w:t>Grafik batang 1. Zona hambat ekstrak uji terhadap bakteri positif dan negatif</w:t>
      </w:r>
    </w:p>
    <w:p w:rsidR="002B619D" w:rsidRPr="002B619D" w:rsidRDefault="002B619D" w:rsidP="002B619D">
      <w:pPr>
        <w:pStyle w:val="Default"/>
        <w:jc w:val="both"/>
        <w:rPr>
          <w:rFonts w:asciiTheme="minorHAnsi" w:eastAsia="Times New Roman" w:hAnsiTheme="minorHAnsi" w:cs="Times New Roman"/>
          <w:sz w:val="22"/>
          <w:szCs w:val="22"/>
        </w:rPr>
        <w:sectPr w:rsidR="002B619D" w:rsidRPr="002B619D" w:rsidSect="00F844D9">
          <w:type w:val="continuous"/>
          <w:pgSz w:w="11906" w:h="16838" w:code="9"/>
          <w:pgMar w:top="1418" w:right="1418" w:bottom="1418" w:left="1985" w:header="706" w:footer="706" w:gutter="0"/>
          <w:cols w:space="708"/>
          <w:docGrid w:linePitch="360"/>
        </w:sectPr>
      </w:pPr>
      <w:r w:rsidRPr="009377A8">
        <w:rPr>
          <w:rFonts w:asciiTheme="minorHAnsi" w:eastAsia="Times New Roman" w:hAnsiTheme="minorHAnsi" w:cs="Times New Roman"/>
          <w:sz w:val="20"/>
          <w:szCs w:val="20"/>
        </w:rPr>
        <w:t>Keterangan : EB (Ekstrak Buah), ED (Ekstrak Daun), EKB (Ekstrak Kulit Batang), konsentrasi (10-80 %</w:t>
      </w:r>
      <w:r w:rsidRPr="009377A8">
        <w:rPr>
          <w:rFonts w:asciiTheme="minorHAnsi" w:eastAsia="Times New Roman" w:hAnsiTheme="minorHAnsi" w:cs="Times New Roman"/>
          <w:sz w:val="22"/>
          <w:szCs w:val="22"/>
        </w:rPr>
        <w:t xml:space="preserve"> w/v)</w:t>
      </w:r>
    </w:p>
    <w:p w:rsidR="002B619D" w:rsidRDefault="002B619D" w:rsidP="002B619D">
      <w:pPr>
        <w:pStyle w:val="Default"/>
        <w:spacing w:line="360" w:lineRule="auto"/>
        <w:jc w:val="both"/>
        <w:rPr>
          <w:rFonts w:asciiTheme="minorHAnsi" w:eastAsia="Times New Roman" w:hAnsiTheme="minorHAnsi" w:cs="Times New Roman"/>
          <w:b/>
          <w:sz w:val="22"/>
          <w:szCs w:val="22"/>
        </w:rPr>
      </w:pPr>
    </w:p>
    <w:p w:rsidR="002B619D" w:rsidRPr="009377A8" w:rsidRDefault="002B619D" w:rsidP="002B619D">
      <w:pPr>
        <w:pStyle w:val="Default"/>
        <w:spacing w:line="360" w:lineRule="auto"/>
        <w:jc w:val="both"/>
        <w:rPr>
          <w:rFonts w:asciiTheme="minorHAnsi" w:eastAsia="Times New Roman" w:hAnsiTheme="minorHAnsi" w:cs="Times New Roman"/>
          <w:b/>
          <w:sz w:val="22"/>
          <w:szCs w:val="22"/>
        </w:rPr>
      </w:pPr>
      <w:r w:rsidRPr="009377A8">
        <w:rPr>
          <w:rFonts w:asciiTheme="minorHAnsi" w:eastAsia="Times New Roman" w:hAnsiTheme="minorHAnsi" w:cs="Times New Roman"/>
          <w:b/>
          <w:sz w:val="22"/>
          <w:szCs w:val="22"/>
        </w:rPr>
        <w:t>KESIMPULAN</w:t>
      </w:r>
    </w:p>
    <w:p w:rsidR="002B619D" w:rsidRPr="009377A8" w:rsidRDefault="002B619D" w:rsidP="002B619D">
      <w:pPr>
        <w:pStyle w:val="Default"/>
        <w:spacing w:line="360" w:lineRule="auto"/>
        <w:ind w:firstLine="720"/>
        <w:jc w:val="both"/>
        <w:rPr>
          <w:rFonts w:asciiTheme="minorHAnsi" w:eastAsia="Times New Roman" w:hAnsiTheme="minorHAnsi" w:cs="Times New Roman"/>
          <w:sz w:val="22"/>
          <w:szCs w:val="22"/>
        </w:rPr>
      </w:pPr>
      <w:r w:rsidRPr="009377A8">
        <w:rPr>
          <w:rFonts w:asciiTheme="minorHAnsi" w:eastAsia="Times New Roman" w:hAnsiTheme="minorHAnsi" w:cs="Times New Roman"/>
          <w:sz w:val="22"/>
          <w:szCs w:val="22"/>
        </w:rPr>
        <w:t>Ekstrak ethanol 96% buah, daun dan kulit batang limpasu memilik kandungan kimia golongan alkaloid, fenol, flavonoid, tannin dan saponin. Ekstrak ethanol buah limpasu merupakan ekstrak yang teraktif terhadap bakteri positif (</w:t>
      </w:r>
      <w:r w:rsidRPr="009377A8">
        <w:rPr>
          <w:rFonts w:asciiTheme="minorHAnsi" w:eastAsia="Times New Roman" w:hAnsiTheme="minorHAnsi" w:cs="Times New Roman"/>
          <w:i/>
          <w:sz w:val="22"/>
          <w:szCs w:val="22"/>
        </w:rPr>
        <w:t>B.subtilis, S.aureus</w:t>
      </w:r>
      <w:r w:rsidRPr="009377A8">
        <w:rPr>
          <w:rFonts w:asciiTheme="minorHAnsi" w:eastAsia="Times New Roman" w:hAnsiTheme="minorHAnsi" w:cs="Times New Roman"/>
          <w:sz w:val="22"/>
          <w:szCs w:val="22"/>
        </w:rPr>
        <w:t>), bakteri negatif (</w:t>
      </w:r>
      <w:r w:rsidRPr="009377A8">
        <w:rPr>
          <w:rFonts w:asciiTheme="minorHAnsi" w:eastAsia="Times New Roman" w:hAnsiTheme="minorHAnsi" w:cs="Times New Roman"/>
          <w:i/>
          <w:sz w:val="22"/>
          <w:szCs w:val="22"/>
        </w:rPr>
        <w:t>P.aureginosa, E.coli</w:t>
      </w:r>
      <w:r w:rsidRPr="009377A8">
        <w:rPr>
          <w:rFonts w:asciiTheme="minorHAnsi" w:eastAsia="Times New Roman" w:hAnsiTheme="minorHAnsi" w:cs="Times New Roman"/>
          <w:sz w:val="22"/>
          <w:szCs w:val="22"/>
        </w:rPr>
        <w:t>) dan bakteri penyebab jerawat (</w:t>
      </w:r>
      <w:r w:rsidRPr="009377A8">
        <w:rPr>
          <w:rFonts w:asciiTheme="minorHAnsi" w:eastAsia="Times New Roman" w:hAnsiTheme="minorHAnsi" w:cs="Times New Roman"/>
          <w:i/>
          <w:sz w:val="22"/>
          <w:szCs w:val="22"/>
        </w:rPr>
        <w:t>Propianibacterium acnes</w:t>
      </w:r>
      <w:r w:rsidRPr="009377A8">
        <w:rPr>
          <w:rFonts w:asciiTheme="minorHAnsi" w:eastAsia="Times New Roman" w:hAnsiTheme="minorHAnsi" w:cs="Times New Roman"/>
          <w:sz w:val="22"/>
          <w:szCs w:val="22"/>
        </w:rPr>
        <w:t xml:space="preserve"> dan </w:t>
      </w:r>
      <w:r w:rsidRPr="009377A8">
        <w:rPr>
          <w:rFonts w:asciiTheme="minorHAnsi" w:eastAsia="Times New Roman" w:hAnsiTheme="minorHAnsi" w:cs="Times New Roman"/>
          <w:i/>
          <w:sz w:val="22"/>
          <w:szCs w:val="22"/>
        </w:rPr>
        <w:t>S.Epidermidis</w:t>
      </w:r>
      <w:r w:rsidRPr="009377A8">
        <w:rPr>
          <w:rFonts w:asciiTheme="minorHAnsi" w:eastAsia="Times New Roman" w:hAnsiTheme="minorHAnsi" w:cs="Times New Roman"/>
          <w:sz w:val="22"/>
          <w:szCs w:val="22"/>
        </w:rPr>
        <w:t xml:space="preserve">) daripada ekstrak ethanol daun maupun ekstrak ethanol kulit batang limpasu. Ekstrak ethanol buah limpasu mempunyai KHM terhadap </w:t>
      </w:r>
      <w:r w:rsidRPr="009377A8">
        <w:rPr>
          <w:rFonts w:asciiTheme="minorHAnsi" w:eastAsia="Times New Roman" w:hAnsiTheme="minorHAnsi" w:cs="Times New Roman"/>
          <w:i/>
          <w:sz w:val="22"/>
          <w:szCs w:val="22"/>
        </w:rPr>
        <w:t>B.subtilis, S.aureus, P.aureginosa</w:t>
      </w:r>
      <w:r w:rsidRPr="009377A8">
        <w:rPr>
          <w:rFonts w:asciiTheme="minorHAnsi" w:eastAsia="Times New Roman" w:hAnsiTheme="minorHAnsi" w:cs="Times New Roman"/>
          <w:sz w:val="22"/>
          <w:szCs w:val="22"/>
        </w:rPr>
        <w:t xml:space="preserve">, </w:t>
      </w:r>
      <w:r w:rsidRPr="009377A8">
        <w:rPr>
          <w:rFonts w:asciiTheme="minorHAnsi" w:eastAsia="Times New Roman" w:hAnsiTheme="minorHAnsi" w:cs="Times New Roman"/>
          <w:i/>
          <w:sz w:val="22"/>
          <w:szCs w:val="22"/>
        </w:rPr>
        <w:t>E. Coli</w:t>
      </w:r>
      <w:r w:rsidRPr="009377A8">
        <w:rPr>
          <w:rFonts w:asciiTheme="minorHAnsi" w:eastAsia="Times New Roman" w:hAnsiTheme="minorHAnsi" w:cs="Times New Roman"/>
          <w:sz w:val="22"/>
          <w:szCs w:val="22"/>
        </w:rPr>
        <w:t xml:space="preserve"> dan </w:t>
      </w:r>
      <w:r w:rsidRPr="009377A8">
        <w:rPr>
          <w:rFonts w:asciiTheme="minorHAnsi" w:eastAsia="Times New Roman" w:hAnsiTheme="minorHAnsi" w:cs="Times New Roman"/>
          <w:i/>
          <w:sz w:val="22"/>
          <w:szCs w:val="22"/>
        </w:rPr>
        <w:t>Propianibacterium acnes</w:t>
      </w:r>
      <w:r>
        <w:rPr>
          <w:rFonts w:asciiTheme="minorHAnsi" w:eastAsia="Times New Roman" w:hAnsiTheme="minorHAnsi" w:cs="Times New Roman"/>
          <w:sz w:val="22"/>
          <w:szCs w:val="22"/>
        </w:rPr>
        <w:t xml:space="preserve"> sebesar </w:t>
      </w:r>
      <w:r w:rsidRPr="009377A8">
        <w:rPr>
          <w:rFonts w:asciiTheme="minorHAnsi" w:eastAsia="Times New Roman" w:hAnsiTheme="minorHAnsi" w:cs="Times New Roman"/>
          <w:sz w:val="22"/>
          <w:szCs w:val="22"/>
        </w:rPr>
        <w:t>2</w:t>
      </w:r>
      <w:r>
        <w:rPr>
          <w:rFonts w:asciiTheme="minorHAnsi" w:eastAsia="Times New Roman" w:hAnsiTheme="minorHAnsi" w:cs="Times New Roman"/>
          <w:sz w:val="22"/>
          <w:szCs w:val="22"/>
        </w:rPr>
        <w:t>,</w:t>
      </w:r>
      <w:r w:rsidRPr="009377A8">
        <w:rPr>
          <w:rFonts w:asciiTheme="minorHAnsi" w:eastAsia="Times New Roman" w:hAnsiTheme="minorHAnsi" w:cs="Times New Roman"/>
          <w:sz w:val="22"/>
          <w:szCs w:val="22"/>
        </w:rPr>
        <w:t>5% w/v.</w:t>
      </w:r>
    </w:p>
    <w:p w:rsidR="002B619D" w:rsidRPr="009377A8" w:rsidRDefault="002B619D" w:rsidP="002B619D">
      <w:pPr>
        <w:pStyle w:val="Default"/>
        <w:spacing w:line="360" w:lineRule="auto"/>
        <w:jc w:val="both"/>
        <w:rPr>
          <w:rFonts w:asciiTheme="minorHAnsi" w:eastAsia="Times New Roman" w:hAnsiTheme="minorHAnsi" w:cs="Times New Roman"/>
          <w:sz w:val="22"/>
          <w:szCs w:val="22"/>
        </w:rPr>
      </w:pPr>
    </w:p>
    <w:p w:rsidR="002B619D" w:rsidRPr="009377A8" w:rsidRDefault="002B619D" w:rsidP="002B619D">
      <w:pPr>
        <w:autoSpaceDE w:val="0"/>
        <w:autoSpaceDN w:val="0"/>
        <w:adjustRightInd w:val="0"/>
        <w:spacing w:after="0" w:line="240" w:lineRule="auto"/>
        <w:ind w:left="450" w:hanging="450"/>
        <w:jc w:val="both"/>
        <w:rPr>
          <w:rFonts w:cs="Times New Roman"/>
          <w:color w:val="000000"/>
        </w:rPr>
      </w:pPr>
    </w:p>
    <w:p w:rsidR="002B619D" w:rsidRPr="009377A8" w:rsidRDefault="002B619D" w:rsidP="002B619D">
      <w:pPr>
        <w:autoSpaceDE w:val="0"/>
        <w:autoSpaceDN w:val="0"/>
        <w:adjustRightInd w:val="0"/>
        <w:spacing w:after="0" w:line="360" w:lineRule="auto"/>
        <w:rPr>
          <w:rFonts w:cs="Times New Roman"/>
          <w:color w:val="000000"/>
        </w:rPr>
      </w:pPr>
    </w:p>
    <w:p w:rsidR="002B619D" w:rsidRPr="009377A8" w:rsidRDefault="002B619D" w:rsidP="002B619D">
      <w:pPr>
        <w:autoSpaceDE w:val="0"/>
        <w:autoSpaceDN w:val="0"/>
        <w:adjustRightInd w:val="0"/>
        <w:spacing w:after="0" w:line="360" w:lineRule="auto"/>
        <w:rPr>
          <w:rFonts w:cs="Times New Roman"/>
          <w:b/>
          <w:bCs/>
        </w:rPr>
      </w:pPr>
    </w:p>
    <w:p w:rsidR="006D6FC7" w:rsidRDefault="006D6FC7"/>
    <w:sectPr w:rsidR="006D6FC7" w:rsidSect="00F844D9">
      <w:type w:val="continuous"/>
      <w:pgSz w:w="11906" w:h="16838" w:code="9"/>
      <w:pgMar w:top="1418" w:right="1418" w:bottom="1418" w:left="1985"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9D"/>
    <w:rsid w:val="002B619D"/>
    <w:rsid w:val="006D6FC7"/>
    <w:rsid w:val="008529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19D"/>
    <w:rPr>
      <w:color w:val="0000FF" w:themeColor="hyperlink"/>
      <w:u w:val="single"/>
    </w:rPr>
  </w:style>
  <w:style w:type="paragraph" w:customStyle="1" w:styleId="Default">
    <w:name w:val="Default"/>
    <w:rsid w:val="002B619D"/>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2B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B6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B619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2B6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19D"/>
    <w:rPr>
      <w:color w:val="0000FF" w:themeColor="hyperlink"/>
      <w:u w:val="single"/>
    </w:rPr>
  </w:style>
  <w:style w:type="paragraph" w:customStyle="1" w:styleId="Default">
    <w:name w:val="Default"/>
    <w:rsid w:val="002B619D"/>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2B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B6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B619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2B6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STFI-Versi%20Baru\TRIDHARMA\PENELITIAN-DIKTI\PDP%202017-2018%20LIMPASU\LIMPASU\LAPORAN\Data-data%20hasil%20penelitian\DATA%20LIMPASU%20REKA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TFI-Versi%20Baru\TRIDHARMA\PENELITIAN-DIKTI\PDP%202017-2018%20LIMPASU\LIMPASU\LAPORAN\Data-data%20hasil%20penelitian\DATA%20LIMPASU%20REKA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TFI-Versi%20Baru\TRIDHARMA\PENELITIAN-DIKTI\PDP%202017-2018%20LIMPASU\LIMPASU\LAPORAN\Data-data%20hasil%20penelitian\DATA%20LIMPASU%20REKAP.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TFI-Versi%20Baru\TRIDHARMA\PENELITIAN-DIKTI\PDP%202017-2018%20LIMPASU\LIMPASU\LAPORAN\Data-data%20hasil%20penelitian\DATA%20LIMPASU%20REKAP.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TFI-Versi%20Baru\TRIDHARMA\PENELITIAN-DIKTI\PDP%202017-2018%20LIMPASU\LIMPASU\LAPORAN\Data-data%20hasil%20penelitian\DATA%20LIMPASU%20REKAP.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TFI-Versi%20Baru\TRIDHARMA\PENELITIAN-DIKTI\PDP%202017-2018%20LIMPASU\LIMPASU\LAPORAN\Data-data%20hasil%20penelitian\DATA%20LIMPASU%20REK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10</c:v>
          </c:tx>
          <c:invertIfNegative val="0"/>
          <c:cat>
            <c:strRef>
              <c:f>'Grafik batang'!$F$1:$H$1</c:f>
              <c:strCache>
                <c:ptCount val="3"/>
                <c:pt idx="0">
                  <c:v>EB</c:v>
                </c:pt>
                <c:pt idx="1">
                  <c:v>ED</c:v>
                </c:pt>
                <c:pt idx="2">
                  <c:v>EKB</c:v>
                </c:pt>
              </c:strCache>
            </c:strRef>
          </c:cat>
          <c:val>
            <c:numRef>
              <c:f>'Grafik batang'!$F$3:$H$3</c:f>
              <c:numCache>
                <c:formatCode>General</c:formatCode>
                <c:ptCount val="3"/>
                <c:pt idx="0">
                  <c:v>10.33</c:v>
                </c:pt>
                <c:pt idx="1">
                  <c:v>6</c:v>
                </c:pt>
                <c:pt idx="2">
                  <c:v>8</c:v>
                </c:pt>
              </c:numCache>
            </c:numRef>
          </c:val>
        </c:ser>
        <c:ser>
          <c:idx val="1"/>
          <c:order val="1"/>
          <c:tx>
            <c:v>20</c:v>
          </c:tx>
          <c:invertIfNegative val="0"/>
          <c:cat>
            <c:strRef>
              <c:f>'Grafik batang'!$F$1:$H$1</c:f>
              <c:strCache>
                <c:ptCount val="3"/>
                <c:pt idx="0">
                  <c:v>EB</c:v>
                </c:pt>
                <c:pt idx="1">
                  <c:v>ED</c:v>
                </c:pt>
                <c:pt idx="2">
                  <c:v>EKB</c:v>
                </c:pt>
              </c:strCache>
            </c:strRef>
          </c:cat>
          <c:val>
            <c:numRef>
              <c:f>'Grafik batang'!$F$4:$H$4</c:f>
              <c:numCache>
                <c:formatCode>General</c:formatCode>
                <c:ptCount val="3"/>
                <c:pt idx="0">
                  <c:v>15.28</c:v>
                </c:pt>
                <c:pt idx="1">
                  <c:v>6.72</c:v>
                </c:pt>
                <c:pt idx="2">
                  <c:v>8.25</c:v>
                </c:pt>
              </c:numCache>
            </c:numRef>
          </c:val>
        </c:ser>
        <c:ser>
          <c:idx val="2"/>
          <c:order val="2"/>
          <c:tx>
            <c:v>40</c:v>
          </c:tx>
          <c:invertIfNegative val="0"/>
          <c:cat>
            <c:strRef>
              <c:f>'Grafik batang'!$F$1:$H$1</c:f>
              <c:strCache>
                <c:ptCount val="3"/>
                <c:pt idx="0">
                  <c:v>EB</c:v>
                </c:pt>
                <c:pt idx="1">
                  <c:v>ED</c:v>
                </c:pt>
                <c:pt idx="2">
                  <c:v>EKB</c:v>
                </c:pt>
              </c:strCache>
            </c:strRef>
          </c:cat>
          <c:val>
            <c:numRef>
              <c:f>'Grafik batang'!$F$5:$H$5</c:f>
              <c:numCache>
                <c:formatCode>General</c:formatCode>
                <c:ptCount val="3"/>
                <c:pt idx="0">
                  <c:v>17.43</c:v>
                </c:pt>
                <c:pt idx="1">
                  <c:v>7.56</c:v>
                </c:pt>
                <c:pt idx="2">
                  <c:v>11.37</c:v>
                </c:pt>
              </c:numCache>
            </c:numRef>
          </c:val>
        </c:ser>
        <c:ser>
          <c:idx val="3"/>
          <c:order val="3"/>
          <c:tx>
            <c:v>80</c:v>
          </c:tx>
          <c:invertIfNegative val="0"/>
          <c:cat>
            <c:strRef>
              <c:f>'Grafik batang'!$F$1:$H$1</c:f>
              <c:strCache>
                <c:ptCount val="3"/>
                <c:pt idx="0">
                  <c:v>EB</c:v>
                </c:pt>
                <c:pt idx="1">
                  <c:v>ED</c:v>
                </c:pt>
                <c:pt idx="2">
                  <c:v>EKB</c:v>
                </c:pt>
              </c:strCache>
            </c:strRef>
          </c:cat>
          <c:val>
            <c:numRef>
              <c:f>'Grafik batang'!$F$6:$H$6</c:f>
              <c:numCache>
                <c:formatCode>General</c:formatCode>
                <c:ptCount val="3"/>
                <c:pt idx="0">
                  <c:v>21.97</c:v>
                </c:pt>
                <c:pt idx="1">
                  <c:v>9.56</c:v>
                </c:pt>
                <c:pt idx="2">
                  <c:v>15.63</c:v>
                </c:pt>
              </c:numCache>
            </c:numRef>
          </c:val>
        </c:ser>
        <c:dLbls>
          <c:showLegendKey val="0"/>
          <c:showVal val="0"/>
          <c:showCatName val="0"/>
          <c:showSerName val="0"/>
          <c:showPercent val="0"/>
          <c:showBubbleSize val="0"/>
        </c:dLbls>
        <c:gapWidth val="300"/>
        <c:axId val="175215744"/>
        <c:axId val="185766656"/>
      </c:barChart>
      <c:catAx>
        <c:axId val="175215744"/>
        <c:scaling>
          <c:orientation val="minMax"/>
        </c:scaling>
        <c:delete val="0"/>
        <c:axPos val="b"/>
        <c:title>
          <c:tx>
            <c:rich>
              <a:bodyPr/>
              <a:lstStyle/>
              <a:p>
                <a:pPr>
                  <a:defRPr/>
                </a:pPr>
                <a:r>
                  <a:rPr lang="id-ID"/>
                  <a:t>Ekstrak</a:t>
                </a:r>
                <a:r>
                  <a:rPr lang="id-ID" baseline="0"/>
                  <a:t> Uji</a:t>
                </a:r>
                <a:endParaRPr lang="id-ID"/>
              </a:p>
            </c:rich>
          </c:tx>
          <c:overlay val="0"/>
        </c:title>
        <c:majorTickMark val="none"/>
        <c:minorTickMark val="none"/>
        <c:tickLblPos val="nextTo"/>
        <c:crossAx val="185766656"/>
        <c:crosses val="autoZero"/>
        <c:auto val="1"/>
        <c:lblAlgn val="ctr"/>
        <c:lblOffset val="100"/>
        <c:noMultiLvlLbl val="0"/>
      </c:catAx>
      <c:valAx>
        <c:axId val="185766656"/>
        <c:scaling>
          <c:orientation val="minMax"/>
        </c:scaling>
        <c:delete val="0"/>
        <c:axPos val="l"/>
        <c:title>
          <c:tx>
            <c:rich>
              <a:bodyPr/>
              <a:lstStyle/>
              <a:p>
                <a:pPr>
                  <a:defRPr/>
                </a:pPr>
                <a:r>
                  <a:rPr lang="id-ID"/>
                  <a:t>Zona</a:t>
                </a:r>
                <a:r>
                  <a:rPr lang="id-ID" baseline="0"/>
                  <a:t> hambat </a:t>
                </a:r>
              </a:p>
              <a:p>
                <a:pPr>
                  <a:defRPr/>
                </a:pPr>
                <a:r>
                  <a:rPr lang="id-ID" baseline="0"/>
                  <a:t>P. Aeruginosa (mm)</a:t>
                </a:r>
                <a:endParaRPr lang="id-ID"/>
              </a:p>
            </c:rich>
          </c:tx>
          <c:overlay val="0"/>
        </c:title>
        <c:numFmt formatCode="General" sourceLinked="1"/>
        <c:majorTickMark val="out"/>
        <c:minorTickMark val="none"/>
        <c:tickLblPos val="nextTo"/>
        <c:crossAx val="175215744"/>
        <c:crosses val="autoZero"/>
        <c:crossBetween val="between"/>
      </c:valAx>
    </c:plotArea>
    <c:legend>
      <c:legendPos val="r"/>
      <c:layout>
        <c:manualLayout>
          <c:xMode val="edge"/>
          <c:yMode val="edge"/>
          <c:x val="0.80225804581998228"/>
          <c:y val="0.22703162104736907"/>
          <c:w val="0.11754522798214892"/>
          <c:h val="0.3500623823899505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10</c:v>
          </c:tx>
          <c:invertIfNegative val="0"/>
          <c:cat>
            <c:strRef>
              <c:f>'Grafik batang'!$F$16:$H$16</c:f>
              <c:strCache>
                <c:ptCount val="3"/>
                <c:pt idx="0">
                  <c:v>EB</c:v>
                </c:pt>
                <c:pt idx="1">
                  <c:v>ED</c:v>
                </c:pt>
                <c:pt idx="2">
                  <c:v>EKB</c:v>
                </c:pt>
              </c:strCache>
            </c:strRef>
          </c:cat>
          <c:val>
            <c:numRef>
              <c:f>'Grafik batang'!$F$17:$H$17</c:f>
              <c:numCache>
                <c:formatCode>General</c:formatCode>
                <c:ptCount val="3"/>
                <c:pt idx="0">
                  <c:v>8.17</c:v>
                </c:pt>
                <c:pt idx="1">
                  <c:v>6</c:v>
                </c:pt>
                <c:pt idx="2">
                  <c:v>6</c:v>
                </c:pt>
              </c:numCache>
            </c:numRef>
          </c:val>
        </c:ser>
        <c:ser>
          <c:idx val="1"/>
          <c:order val="1"/>
          <c:tx>
            <c:v>20</c:v>
          </c:tx>
          <c:invertIfNegative val="0"/>
          <c:cat>
            <c:strRef>
              <c:f>'Grafik batang'!$F$16:$H$16</c:f>
              <c:strCache>
                <c:ptCount val="3"/>
                <c:pt idx="0">
                  <c:v>EB</c:v>
                </c:pt>
                <c:pt idx="1">
                  <c:v>ED</c:v>
                </c:pt>
                <c:pt idx="2">
                  <c:v>EKB</c:v>
                </c:pt>
              </c:strCache>
            </c:strRef>
          </c:cat>
          <c:val>
            <c:numRef>
              <c:f>'Grafik batang'!$F$18:$H$18</c:f>
              <c:numCache>
                <c:formatCode>General</c:formatCode>
                <c:ptCount val="3"/>
                <c:pt idx="0">
                  <c:v>8.4700000000000006</c:v>
                </c:pt>
                <c:pt idx="1">
                  <c:v>6</c:v>
                </c:pt>
                <c:pt idx="2">
                  <c:v>8.27</c:v>
                </c:pt>
              </c:numCache>
            </c:numRef>
          </c:val>
        </c:ser>
        <c:ser>
          <c:idx val="2"/>
          <c:order val="2"/>
          <c:tx>
            <c:v>40</c:v>
          </c:tx>
          <c:invertIfNegative val="0"/>
          <c:cat>
            <c:strRef>
              <c:f>'Grafik batang'!$F$16:$H$16</c:f>
              <c:strCache>
                <c:ptCount val="3"/>
                <c:pt idx="0">
                  <c:v>EB</c:v>
                </c:pt>
                <c:pt idx="1">
                  <c:v>ED</c:v>
                </c:pt>
                <c:pt idx="2">
                  <c:v>EKB</c:v>
                </c:pt>
              </c:strCache>
            </c:strRef>
          </c:cat>
          <c:val>
            <c:numRef>
              <c:f>'Grafik batang'!$F$19:$H$19</c:f>
              <c:numCache>
                <c:formatCode>General</c:formatCode>
                <c:ptCount val="3"/>
                <c:pt idx="0">
                  <c:v>9.5299999999999994</c:v>
                </c:pt>
                <c:pt idx="1">
                  <c:v>6</c:v>
                </c:pt>
                <c:pt idx="2">
                  <c:v>15.78</c:v>
                </c:pt>
              </c:numCache>
            </c:numRef>
          </c:val>
        </c:ser>
        <c:ser>
          <c:idx val="3"/>
          <c:order val="3"/>
          <c:tx>
            <c:v>80</c:v>
          </c:tx>
          <c:invertIfNegative val="0"/>
          <c:cat>
            <c:strRef>
              <c:f>'Grafik batang'!$F$16:$H$16</c:f>
              <c:strCache>
                <c:ptCount val="3"/>
                <c:pt idx="0">
                  <c:v>EB</c:v>
                </c:pt>
                <c:pt idx="1">
                  <c:v>ED</c:v>
                </c:pt>
                <c:pt idx="2">
                  <c:v>EKB</c:v>
                </c:pt>
              </c:strCache>
            </c:strRef>
          </c:cat>
          <c:val>
            <c:numRef>
              <c:f>'Grafik batang'!$F$20:$H$20</c:f>
              <c:numCache>
                <c:formatCode>General</c:formatCode>
                <c:ptCount val="3"/>
                <c:pt idx="0">
                  <c:v>10.09</c:v>
                </c:pt>
                <c:pt idx="1">
                  <c:v>6</c:v>
                </c:pt>
                <c:pt idx="2">
                  <c:v>19</c:v>
                </c:pt>
              </c:numCache>
            </c:numRef>
          </c:val>
        </c:ser>
        <c:dLbls>
          <c:showLegendKey val="0"/>
          <c:showVal val="0"/>
          <c:showCatName val="0"/>
          <c:showSerName val="0"/>
          <c:showPercent val="0"/>
          <c:showBubbleSize val="0"/>
        </c:dLbls>
        <c:gapWidth val="150"/>
        <c:axId val="186379264"/>
        <c:axId val="193275008"/>
      </c:barChart>
      <c:catAx>
        <c:axId val="186379264"/>
        <c:scaling>
          <c:orientation val="minMax"/>
        </c:scaling>
        <c:delete val="0"/>
        <c:axPos val="b"/>
        <c:title>
          <c:tx>
            <c:rich>
              <a:bodyPr/>
              <a:lstStyle/>
              <a:p>
                <a:pPr>
                  <a:defRPr/>
                </a:pPr>
                <a:r>
                  <a:rPr lang="id-ID"/>
                  <a:t>Ekstrak</a:t>
                </a:r>
                <a:r>
                  <a:rPr lang="id-ID" baseline="0"/>
                  <a:t> Uji</a:t>
                </a:r>
                <a:endParaRPr lang="id-ID"/>
              </a:p>
            </c:rich>
          </c:tx>
          <c:overlay val="0"/>
        </c:title>
        <c:majorTickMark val="none"/>
        <c:minorTickMark val="none"/>
        <c:tickLblPos val="nextTo"/>
        <c:crossAx val="193275008"/>
        <c:crosses val="autoZero"/>
        <c:auto val="1"/>
        <c:lblAlgn val="ctr"/>
        <c:lblOffset val="100"/>
        <c:noMultiLvlLbl val="0"/>
      </c:catAx>
      <c:valAx>
        <c:axId val="193275008"/>
        <c:scaling>
          <c:orientation val="minMax"/>
        </c:scaling>
        <c:delete val="0"/>
        <c:axPos val="l"/>
        <c:title>
          <c:tx>
            <c:rich>
              <a:bodyPr/>
              <a:lstStyle/>
              <a:p>
                <a:pPr>
                  <a:defRPr/>
                </a:pPr>
                <a:r>
                  <a:rPr lang="id-ID"/>
                  <a:t>Zona hambat </a:t>
                </a:r>
              </a:p>
              <a:p>
                <a:pPr>
                  <a:defRPr/>
                </a:pPr>
                <a:r>
                  <a:rPr lang="id-ID"/>
                  <a:t>B.subtillis</a:t>
                </a:r>
                <a:r>
                  <a:rPr lang="id-ID" baseline="0"/>
                  <a:t> (mm</a:t>
                </a:r>
                <a:r>
                  <a:rPr lang="id-ID"/>
                  <a:t>) </a:t>
                </a:r>
              </a:p>
            </c:rich>
          </c:tx>
          <c:overlay val="0"/>
        </c:title>
        <c:numFmt formatCode="General" sourceLinked="1"/>
        <c:majorTickMark val="out"/>
        <c:minorTickMark val="none"/>
        <c:tickLblPos val="nextTo"/>
        <c:crossAx val="186379264"/>
        <c:crosses val="autoZero"/>
        <c:crossBetween val="between"/>
      </c:valAx>
    </c:plotArea>
    <c:legend>
      <c:legendPos val="r"/>
      <c:layout>
        <c:manualLayout>
          <c:xMode val="edge"/>
          <c:yMode val="edge"/>
          <c:x val="0.85520975503062113"/>
          <c:y val="0.22179125757428469"/>
          <c:w val="0.11687338352778895"/>
          <c:h val="0.4510663944784679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10</c:v>
          </c:tx>
          <c:invertIfNegative val="0"/>
          <c:cat>
            <c:strRef>
              <c:f>'Grafik batang'!$D$31:$F$31</c:f>
              <c:strCache>
                <c:ptCount val="3"/>
                <c:pt idx="0">
                  <c:v>EB</c:v>
                </c:pt>
                <c:pt idx="1">
                  <c:v>ED</c:v>
                </c:pt>
                <c:pt idx="2">
                  <c:v>EKB</c:v>
                </c:pt>
              </c:strCache>
            </c:strRef>
          </c:cat>
          <c:val>
            <c:numRef>
              <c:f>'Grafik batang'!$D$32:$F$32</c:f>
              <c:numCache>
                <c:formatCode>General</c:formatCode>
                <c:ptCount val="3"/>
                <c:pt idx="0">
                  <c:v>13</c:v>
                </c:pt>
                <c:pt idx="1">
                  <c:v>6.8</c:v>
                </c:pt>
                <c:pt idx="2">
                  <c:v>9.8000000000000007</c:v>
                </c:pt>
              </c:numCache>
            </c:numRef>
          </c:val>
        </c:ser>
        <c:ser>
          <c:idx val="1"/>
          <c:order val="1"/>
          <c:tx>
            <c:v>20</c:v>
          </c:tx>
          <c:invertIfNegative val="0"/>
          <c:cat>
            <c:strRef>
              <c:f>'Grafik batang'!$D$31:$F$31</c:f>
              <c:strCache>
                <c:ptCount val="3"/>
                <c:pt idx="0">
                  <c:v>EB</c:v>
                </c:pt>
                <c:pt idx="1">
                  <c:v>ED</c:v>
                </c:pt>
                <c:pt idx="2">
                  <c:v>EKB</c:v>
                </c:pt>
              </c:strCache>
            </c:strRef>
          </c:cat>
          <c:val>
            <c:numRef>
              <c:f>'Grafik batang'!$D$33:$F$33</c:f>
              <c:numCache>
                <c:formatCode>General</c:formatCode>
                <c:ptCount val="3"/>
                <c:pt idx="0">
                  <c:v>15.56</c:v>
                </c:pt>
                <c:pt idx="1">
                  <c:v>7.73</c:v>
                </c:pt>
                <c:pt idx="2">
                  <c:v>12.63</c:v>
                </c:pt>
              </c:numCache>
            </c:numRef>
          </c:val>
        </c:ser>
        <c:ser>
          <c:idx val="2"/>
          <c:order val="2"/>
          <c:tx>
            <c:v>40</c:v>
          </c:tx>
          <c:invertIfNegative val="0"/>
          <c:cat>
            <c:strRef>
              <c:f>'Grafik batang'!$D$31:$F$31</c:f>
              <c:strCache>
                <c:ptCount val="3"/>
                <c:pt idx="0">
                  <c:v>EB</c:v>
                </c:pt>
                <c:pt idx="1">
                  <c:v>ED</c:v>
                </c:pt>
                <c:pt idx="2">
                  <c:v>EKB</c:v>
                </c:pt>
              </c:strCache>
            </c:strRef>
          </c:cat>
          <c:val>
            <c:numRef>
              <c:f>'Grafik batang'!$D$34:$F$34</c:f>
              <c:numCache>
                <c:formatCode>General</c:formatCode>
                <c:ptCount val="3"/>
                <c:pt idx="0">
                  <c:v>18.399999999999999</c:v>
                </c:pt>
                <c:pt idx="1">
                  <c:v>8.6</c:v>
                </c:pt>
                <c:pt idx="2">
                  <c:v>13.16</c:v>
                </c:pt>
              </c:numCache>
            </c:numRef>
          </c:val>
        </c:ser>
        <c:ser>
          <c:idx val="3"/>
          <c:order val="3"/>
          <c:tx>
            <c:v>80</c:v>
          </c:tx>
          <c:invertIfNegative val="0"/>
          <c:cat>
            <c:strRef>
              <c:f>'Grafik batang'!$D$31:$F$31</c:f>
              <c:strCache>
                <c:ptCount val="3"/>
                <c:pt idx="0">
                  <c:v>EB</c:v>
                </c:pt>
                <c:pt idx="1">
                  <c:v>ED</c:v>
                </c:pt>
                <c:pt idx="2">
                  <c:v>EKB</c:v>
                </c:pt>
              </c:strCache>
            </c:strRef>
          </c:cat>
          <c:val>
            <c:numRef>
              <c:f>'Grafik batang'!$D$35:$F$35</c:f>
              <c:numCache>
                <c:formatCode>General</c:formatCode>
                <c:ptCount val="3"/>
                <c:pt idx="0">
                  <c:v>23.36</c:v>
                </c:pt>
                <c:pt idx="1">
                  <c:v>10.3</c:v>
                </c:pt>
                <c:pt idx="2">
                  <c:v>14.5</c:v>
                </c:pt>
              </c:numCache>
            </c:numRef>
          </c:val>
        </c:ser>
        <c:dLbls>
          <c:showLegendKey val="0"/>
          <c:showVal val="0"/>
          <c:showCatName val="0"/>
          <c:showSerName val="0"/>
          <c:showPercent val="0"/>
          <c:showBubbleSize val="0"/>
        </c:dLbls>
        <c:gapWidth val="150"/>
        <c:axId val="150613376"/>
        <c:axId val="150631936"/>
      </c:barChart>
      <c:catAx>
        <c:axId val="150613376"/>
        <c:scaling>
          <c:orientation val="minMax"/>
        </c:scaling>
        <c:delete val="0"/>
        <c:axPos val="b"/>
        <c:title>
          <c:tx>
            <c:rich>
              <a:bodyPr/>
              <a:lstStyle/>
              <a:p>
                <a:pPr>
                  <a:defRPr/>
                </a:pPr>
                <a:r>
                  <a:rPr lang="en-US"/>
                  <a:t>Eks</a:t>
                </a:r>
                <a:r>
                  <a:rPr lang="id-ID"/>
                  <a:t>trak Uji</a:t>
                </a:r>
                <a:endParaRPr lang="en-US"/>
              </a:p>
            </c:rich>
          </c:tx>
          <c:overlay val="0"/>
        </c:title>
        <c:majorTickMark val="none"/>
        <c:minorTickMark val="none"/>
        <c:tickLblPos val="nextTo"/>
        <c:crossAx val="150631936"/>
        <c:crosses val="autoZero"/>
        <c:auto val="1"/>
        <c:lblAlgn val="ctr"/>
        <c:lblOffset val="100"/>
        <c:noMultiLvlLbl val="0"/>
      </c:catAx>
      <c:valAx>
        <c:axId val="150631936"/>
        <c:scaling>
          <c:orientation val="minMax"/>
        </c:scaling>
        <c:delete val="0"/>
        <c:axPos val="l"/>
        <c:title>
          <c:tx>
            <c:rich>
              <a:bodyPr/>
              <a:lstStyle/>
              <a:p>
                <a:pPr>
                  <a:defRPr/>
                </a:pPr>
                <a:r>
                  <a:rPr lang="id-ID"/>
                  <a:t>Zona hambat</a:t>
                </a:r>
              </a:p>
              <a:p>
                <a:pPr>
                  <a:defRPr/>
                </a:pPr>
                <a:r>
                  <a:rPr lang="id-ID"/>
                  <a:t>S.</a:t>
                </a:r>
                <a:r>
                  <a:rPr lang="id-ID" baseline="0"/>
                  <a:t> Aureus (mm)</a:t>
                </a:r>
                <a:r>
                  <a:rPr lang="id-ID"/>
                  <a:t> </a:t>
                </a:r>
              </a:p>
            </c:rich>
          </c:tx>
          <c:overlay val="0"/>
        </c:title>
        <c:numFmt formatCode="General" sourceLinked="1"/>
        <c:majorTickMark val="out"/>
        <c:minorTickMark val="none"/>
        <c:tickLblPos val="nextTo"/>
        <c:crossAx val="150613376"/>
        <c:crosses val="autoZero"/>
        <c:crossBetween val="between"/>
      </c:valAx>
    </c:plotArea>
    <c:legend>
      <c:legendPos val="r"/>
      <c:layout>
        <c:manualLayout>
          <c:xMode val="edge"/>
          <c:yMode val="edge"/>
          <c:x val="0.81200000000000006"/>
          <c:y val="0.17646254218222723"/>
          <c:w val="0.12380246913580246"/>
          <c:h val="0.39291728533933257"/>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10</c:v>
          </c:tx>
          <c:invertIfNegative val="0"/>
          <c:cat>
            <c:strRef>
              <c:f>'Grafik batang'!$D$48:$F$48</c:f>
              <c:strCache>
                <c:ptCount val="3"/>
                <c:pt idx="0">
                  <c:v>EB</c:v>
                </c:pt>
                <c:pt idx="1">
                  <c:v>ED</c:v>
                </c:pt>
                <c:pt idx="2">
                  <c:v>KB</c:v>
                </c:pt>
              </c:strCache>
            </c:strRef>
          </c:cat>
          <c:val>
            <c:numRef>
              <c:f>'Grafik batang'!$D$49:$F$49</c:f>
              <c:numCache>
                <c:formatCode>General</c:formatCode>
                <c:ptCount val="3"/>
                <c:pt idx="0">
                  <c:v>12.8</c:v>
                </c:pt>
                <c:pt idx="1">
                  <c:v>8.3000000000000007</c:v>
                </c:pt>
                <c:pt idx="2">
                  <c:v>7.4</c:v>
                </c:pt>
              </c:numCache>
            </c:numRef>
          </c:val>
        </c:ser>
        <c:ser>
          <c:idx val="1"/>
          <c:order val="1"/>
          <c:tx>
            <c:v>20</c:v>
          </c:tx>
          <c:invertIfNegative val="0"/>
          <c:cat>
            <c:strRef>
              <c:f>'Grafik batang'!$D$48:$F$48</c:f>
              <c:strCache>
                <c:ptCount val="3"/>
                <c:pt idx="0">
                  <c:v>EB</c:v>
                </c:pt>
                <c:pt idx="1">
                  <c:v>ED</c:v>
                </c:pt>
                <c:pt idx="2">
                  <c:v>KB</c:v>
                </c:pt>
              </c:strCache>
            </c:strRef>
          </c:cat>
          <c:val>
            <c:numRef>
              <c:f>'Grafik batang'!$D$50:$F$50</c:f>
              <c:numCache>
                <c:formatCode>General</c:formatCode>
                <c:ptCount val="3"/>
                <c:pt idx="0">
                  <c:v>16.16</c:v>
                </c:pt>
                <c:pt idx="1">
                  <c:v>14.23</c:v>
                </c:pt>
                <c:pt idx="2">
                  <c:v>8</c:v>
                </c:pt>
              </c:numCache>
            </c:numRef>
          </c:val>
        </c:ser>
        <c:ser>
          <c:idx val="2"/>
          <c:order val="2"/>
          <c:tx>
            <c:v>40</c:v>
          </c:tx>
          <c:invertIfNegative val="0"/>
          <c:cat>
            <c:strRef>
              <c:f>'Grafik batang'!$D$48:$F$48</c:f>
              <c:strCache>
                <c:ptCount val="3"/>
                <c:pt idx="0">
                  <c:v>EB</c:v>
                </c:pt>
                <c:pt idx="1">
                  <c:v>ED</c:v>
                </c:pt>
                <c:pt idx="2">
                  <c:v>KB</c:v>
                </c:pt>
              </c:strCache>
            </c:strRef>
          </c:cat>
          <c:val>
            <c:numRef>
              <c:f>'Grafik batang'!$D$51:$F$51</c:f>
              <c:numCache>
                <c:formatCode>General</c:formatCode>
                <c:ptCount val="3"/>
                <c:pt idx="0">
                  <c:v>23.63</c:v>
                </c:pt>
                <c:pt idx="1">
                  <c:v>13.8</c:v>
                </c:pt>
                <c:pt idx="2">
                  <c:v>10</c:v>
                </c:pt>
              </c:numCache>
            </c:numRef>
          </c:val>
        </c:ser>
        <c:ser>
          <c:idx val="3"/>
          <c:order val="3"/>
          <c:tx>
            <c:v>80</c:v>
          </c:tx>
          <c:invertIfNegative val="0"/>
          <c:cat>
            <c:strRef>
              <c:f>'Grafik batang'!$D$48:$F$48</c:f>
              <c:strCache>
                <c:ptCount val="3"/>
                <c:pt idx="0">
                  <c:v>EB</c:v>
                </c:pt>
                <c:pt idx="1">
                  <c:v>ED</c:v>
                </c:pt>
                <c:pt idx="2">
                  <c:v>KB</c:v>
                </c:pt>
              </c:strCache>
            </c:strRef>
          </c:cat>
          <c:val>
            <c:numRef>
              <c:f>'Grafik batang'!$D$52:$F$52</c:f>
              <c:numCache>
                <c:formatCode>General</c:formatCode>
                <c:ptCount val="3"/>
                <c:pt idx="0">
                  <c:v>27.7</c:v>
                </c:pt>
                <c:pt idx="1">
                  <c:v>17.600000000000001</c:v>
                </c:pt>
                <c:pt idx="2">
                  <c:v>16.86</c:v>
                </c:pt>
              </c:numCache>
            </c:numRef>
          </c:val>
        </c:ser>
        <c:dLbls>
          <c:showLegendKey val="0"/>
          <c:showVal val="0"/>
          <c:showCatName val="0"/>
          <c:showSerName val="0"/>
          <c:showPercent val="0"/>
          <c:showBubbleSize val="0"/>
        </c:dLbls>
        <c:gapWidth val="150"/>
        <c:axId val="186347520"/>
        <c:axId val="186349440"/>
      </c:barChart>
      <c:catAx>
        <c:axId val="186347520"/>
        <c:scaling>
          <c:orientation val="minMax"/>
        </c:scaling>
        <c:delete val="0"/>
        <c:axPos val="b"/>
        <c:title>
          <c:tx>
            <c:rich>
              <a:bodyPr/>
              <a:lstStyle/>
              <a:p>
                <a:pPr>
                  <a:defRPr/>
                </a:pPr>
                <a:r>
                  <a:rPr lang="id-ID"/>
                  <a:t>Ekstrak</a:t>
                </a:r>
                <a:r>
                  <a:rPr lang="id-ID" baseline="0"/>
                  <a:t> Uji</a:t>
                </a:r>
                <a:endParaRPr lang="id-ID"/>
              </a:p>
            </c:rich>
          </c:tx>
          <c:overlay val="0"/>
        </c:title>
        <c:majorTickMark val="none"/>
        <c:minorTickMark val="none"/>
        <c:tickLblPos val="nextTo"/>
        <c:crossAx val="186349440"/>
        <c:crosses val="autoZero"/>
        <c:auto val="1"/>
        <c:lblAlgn val="ctr"/>
        <c:lblOffset val="100"/>
        <c:noMultiLvlLbl val="0"/>
      </c:catAx>
      <c:valAx>
        <c:axId val="186349440"/>
        <c:scaling>
          <c:orientation val="minMax"/>
        </c:scaling>
        <c:delete val="0"/>
        <c:axPos val="l"/>
        <c:title>
          <c:tx>
            <c:rich>
              <a:bodyPr/>
              <a:lstStyle/>
              <a:p>
                <a:pPr>
                  <a:defRPr/>
                </a:pPr>
                <a:r>
                  <a:rPr lang="id-ID"/>
                  <a:t>Zona hambat</a:t>
                </a:r>
              </a:p>
              <a:p>
                <a:pPr>
                  <a:defRPr/>
                </a:pPr>
                <a:r>
                  <a:rPr lang="id-ID"/>
                  <a:t>E.</a:t>
                </a:r>
                <a:r>
                  <a:rPr lang="id-ID" baseline="0"/>
                  <a:t> Coli (mm)</a:t>
                </a:r>
                <a:endParaRPr lang="id-ID"/>
              </a:p>
            </c:rich>
          </c:tx>
          <c:overlay val="0"/>
        </c:title>
        <c:numFmt formatCode="General" sourceLinked="1"/>
        <c:majorTickMark val="out"/>
        <c:minorTickMark val="none"/>
        <c:tickLblPos val="nextTo"/>
        <c:crossAx val="186347520"/>
        <c:crosses val="autoZero"/>
        <c:crossBetween val="between"/>
      </c:valAx>
    </c:plotArea>
    <c:legend>
      <c:legendPos val="r"/>
      <c:layout>
        <c:manualLayout>
          <c:xMode val="edge"/>
          <c:yMode val="edge"/>
          <c:x val="0.82149587684518155"/>
          <c:y val="0.19796216224417035"/>
          <c:w val="0.11211873061321881"/>
          <c:h val="0.3941420514634918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'Grafik batang'!$A$63</c:f>
              <c:strCache>
                <c:ptCount val="1"/>
                <c:pt idx="0">
                  <c:v>10</c:v>
                </c:pt>
              </c:strCache>
            </c:strRef>
          </c:tx>
          <c:invertIfNegative val="0"/>
          <c:cat>
            <c:strRef>
              <c:f>'Grafik batang'!$B$62:$D$62</c:f>
              <c:strCache>
                <c:ptCount val="3"/>
                <c:pt idx="0">
                  <c:v>EB</c:v>
                </c:pt>
                <c:pt idx="1">
                  <c:v>ED</c:v>
                </c:pt>
                <c:pt idx="2">
                  <c:v>EKB</c:v>
                </c:pt>
              </c:strCache>
            </c:strRef>
          </c:cat>
          <c:val>
            <c:numRef>
              <c:f>'Grafik batang'!$B$63:$D$63</c:f>
              <c:numCache>
                <c:formatCode>General</c:formatCode>
                <c:ptCount val="3"/>
                <c:pt idx="0">
                  <c:v>10.029999999999999</c:v>
                </c:pt>
              </c:numCache>
            </c:numRef>
          </c:val>
        </c:ser>
        <c:ser>
          <c:idx val="1"/>
          <c:order val="1"/>
          <c:tx>
            <c:strRef>
              <c:f>'Grafik batang'!$A$64</c:f>
              <c:strCache>
                <c:ptCount val="1"/>
                <c:pt idx="0">
                  <c:v>20</c:v>
                </c:pt>
              </c:strCache>
            </c:strRef>
          </c:tx>
          <c:invertIfNegative val="0"/>
          <c:cat>
            <c:strRef>
              <c:f>'Grafik batang'!$B$62:$D$62</c:f>
              <c:strCache>
                <c:ptCount val="3"/>
                <c:pt idx="0">
                  <c:v>EB</c:v>
                </c:pt>
                <c:pt idx="1">
                  <c:v>ED</c:v>
                </c:pt>
                <c:pt idx="2">
                  <c:v>EKB</c:v>
                </c:pt>
              </c:strCache>
            </c:strRef>
          </c:cat>
          <c:val>
            <c:numRef>
              <c:f>'Grafik batang'!$B$64:$D$64</c:f>
              <c:numCache>
                <c:formatCode>General</c:formatCode>
                <c:ptCount val="3"/>
                <c:pt idx="0">
                  <c:v>12.21</c:v>
                </c:pt>
                <c:pt idx="2">
                  <c:v>3.02</c:v>
                </c:pt>
              </c:numCache>
            </c:numRef>
          </c:val>
        </c:ser>
        <c:ser>
          <c:idx val="2"/>
          <c:order val="2"/>
          <c:tx>
            <c:strRef>
              <c:f>'Grafik batang'!$A$65</c:f>
              <c:strCache>
                <c:ptCount val="1"/>
                <c:pt idx="0">
                  <c:v>40</c:v>
                </c:pt>
              </c:strCache>
            </c:strRef>
          </c:tx>
          <c:invertIfNegative val="0"/>
          <c:cat>
            <c:strRef>
              <c:f>'Grafik batang'!$B$62:$D$62</c:f>
              <c:strCache>
                <c:ptCount val="3"/>
                <c:pt idx="0">
                  <c:v>EB</c:v>
                </c:pt>
                <c:pt idx="1">
                  <c:v>ED</c:v>
                </c:pt>
                <c:pt idx="2">
                  <c:v>EKB</c:v>
                </c:pt>
              </c:strCache>
            </c:strRef>
          </c:cat>
          <c:val>
            <c:numRef>
              <c:f>'Grafik batang'!$B$65:$D$65</c:f>
              <c:numCache>
                <c:formatCode>General</c:formatCode>
                <c:ptCount val="3"/>
                <c:pt idx="0">
                  <c:v>14.79</c:v>
                </c:pt>
                <c:pt idx="1">
                  <c:v>4.04</c:v>
                </c:pt>
                <c:pt idx="2">
                  <c:v>3.48</c:v>
                </c:pt>
              </c:numCache>
            </c:numRef>
          </c:val>
        </c:ser>
        <c:ser>
          <c:idx val="3"/>
          <c:order val="3"/>
          <c:tx>
            <c:strRef>
              <c:f>'Grafik batang'!$A$66</c:f>
              <c:strCache>
                <c:ptCount val="1"/>
                <c:pt idx="0">
                  <c:v>80</c:v>
                </c:pt>
              </c:strCache>
            </c:strRef>
          </c:tx>
          <c:invertIfNegative val="0"/>
          <c:cat>
            <c:strRef>
              <c:f>'Grafik batang'!$B$62:$D$62</c:f>
              <c:strCache>
                <c:ptCount val="3"/>
                <c:pt idx="0">
                  <c:v>EB</c:v>
                </c:pt>
                <c:pt idx="1">
                  <c:v>ED</c:v>
                </c:pt>
                <c:pt idx="2">
                  <c:v>EKB</c:v>
                </c:pt>
              </c:strCache>
            </c:strRef>
          </c:cat>
          <c:val>
            <c:numRef>
              <c:f>'Grafik batang'!$B$66:$D$66</c:f>
              <c:numCache>
                <c:formatCode>General</c:formatCode>
                <c:ptCount val="3"/>
                <c:pt idx="0">
                  <c:v>19.72</c:v>
                </c:pt>
                <c:pt idx="1">
                  <c:v>5.03</c:v>
                </c:pt>
                <c:pt idx="2">
                  <c:v>4.08</c:v>
                </c:pt>
              </c:numCache>
            </c:numRef>
          </c:val>
        </c:ser>
        <c:dLbls>
          <c:showLegendKey val="0"/>
          <c:showVal val="0"/>
          <c:showCatName val="0"/>
          <c:showSerName val="0"/>
          <c:showPercent val="0"/>
          <c:showBubbleSize val="0"/>
        </c:dLbls>
        <c:gapWidth val="300"/>
        <c:axId val="161767808"/>
        <c:axId val="161769728"/>
      </c:barChart>
      <c:catAx>
        <c:axId val="161767808"/>
        <c:scaling>
          <c:orientation val="minMax"/>
        </c:scaling>
        <c:delete val="0"/>
        <c:axPos val="b"/>
        <c:title>
          <c:tx>
            <c:rich>
              <a:bodyPr/>
              <a:lstStyle/>
              <a:p>
                <a:pPr>
                  <a:defRPr/>
                </a:pPr>
                <a:r>
                  <a:rPr lang="id-ID"/>
                  <a:t>Ekstrak</a:t>
                </a:r>
                <a:r>
                  <a:rPr lang="id-ID" baseline="0"/>
                  <a:t> Uji</a:t>
                </a:r>
                <a:endParaRPr lang="id-ID"/>
              </a:p>
            </c:rich>
          </c:tx>
          <c:overlay val="0"/>
        </c:title>
        <c:majorTickMark val="none"/>
        <c:minorTickMark val="none"/>
        <c:tickLblPos val="nextTo"/>
        <c:crossAx val="161769728"/>
        <c:crosses val="autoZero"/>
        <c:auto val="1"/>
        <c:lblAlgn val="ctr"/>
        <c:lblOffset val="100"/>
        <c:noMultiLvlLbl val="0"/>
      </c:catAx>
      <c:valAx>
        <c:axId val="161769728"/>
        <c:scaling>
          <c:orientation val="minMax"/>
        </c:scaling>
        <c:delete val="0"/>
        <c:axPos val="l"/>
        <c:title>
          <c:tx>
            <c:rich>
              <a:bodyPr/>
              <a:lstStyle/>
              <a:p>
                <a:pPr>
                  <a:defRPr/>
                </a:pPr>
                <a:r>
                  <a:rPr lang="id-ID"/>
                  <a:t>Zona</a:t>
                </a:r>
                <a:r>
                  <a:rPr lang="id-ID" baseline="0"/>
                  <a:t> hambat P. acnes (mm)</a:t>
                </a:r>
                <a:endParaRPr lang="id-ID"/>
              </a:p>
            </c:rich>
          </c:tx>
          <c:overlay val="0"/>
        </c:title>
        <c:numFmt formatCode="General" sourceLinked="1"/>
        <c:majorTickMark val="out"/>
        <c:minorTickMark val="none"/>
        <c:tickLblPos val="nextTo"/>
        <c:crossAx val="161767808"/>
        <c:crosses val="autoZero"/>
        <c:crossBetween val="between"/>
      </c:valAx>
    </c:plotArea>
    <c:legend>
      <c:legendPos val="r"/>
      <c:layout>
        <c:manualLayout>
          <c:xMode val="edge"/>
          <c:yMode val="edge"/>
          <c:x val="0.84112955305047299"/>
          <c:y val="0.20506942625098246"/>
          <c:w val="0.11570497932362771"/>
          <c:h val="0.56539629212963671"/>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'Grafik batang'!$A$72</c:f>
              <c:strCache>
                <c:ptCount val="1"/>
                <c:pt idx="0">
                  <c:v>10</c:v>
                </c:pt>
              </c:strCache>
            </c:strRef>
          </c:tx>
          <c:invertIfNegative val="0"/>
          <c:cat>
            <c:strRef>
              <c:f>'Grafik batang'!$B$71:$D$71</c:f>
              <c:strCache>
                <c:ptCount val="3"/>
                <c:pt idx="0">
                  <c:v>EB</c:v>
                </c:pt>
                <c:pt idx="1">
                  <c:v>ED</c:v>
                </c:pt>
                <c:pt idx="2">
                  <c:v>EKB</c:v>
                </c:pt>
              </c:strCache>
            </c:strRef>
          </c:cat>
          <c:val>
            <c:numRef>
              <c:f>'Grafik batang'!$B$72:$D$72</c:f>
              <c:numCache>
                <c:formatCode>General</c:formatCode>
                <c:ptCount val="3"/>
                <c:pt idx="0">
                  <c:v>10.72</c:v>
                </c:pt>
                <c:pt idx="1">
                  <c:v>4.8</c:v>
                </c:pt>
                <c:pt idx="2">
                  <c:v>4.8499999999999996</c:v>
                </c:pt>
              </c:numCache>
            </c:numRef>
          </c:val>
        </c:ser>
        <c:ser>
          <c:idx val="1"/>
          <c:order val="1"/>
          <c:tx>
            <c:strRef>
              <c:f>'Grafik batang'!$A$73</c:f>
              <c:strCache>
                <c:ptCount val="1"/>
                <c:pt idx="0">
                  <c:v>20</c:v>
                </c:pt>
              </c:strCache>
            </c:strRef>
          </c:tx>
          <c:invertIfNegative val="0"/>
          <c:cat>
            <c:strRef>
              <c:f>'Grafik batang'!$B$71:$D$71</c:f>
              <c:strCache>
                <c:ptCount val="3"/>
                <c:pt idx="0">
                  <c:v>EB</c:v>
                </c:pt>
                <c:pt idx="1">
                  <c:v>ED</c:v>
                </c:pt>
                <c:pt idx="2">
                  <c:v>EKB</c:v>
                </c:pt>
              </c:strCache>
            </c:strRef>
          </c:cat>
          <c:val>
            <c:numRef>
              <c:f>'Grafik batang'!$B$73:$D$73</c:f>
              <c:numCache>
                <c:formatCode>General</c:formatCode>
                <c:ptCount val="3"/>
                <c:pt idx="0">
                  <c:v>12.61</c:v>
                </c:pt>
                <c:pt idx="1">
                  <c:v>5.5</c:v>
                </c:pt>
                <c:pt idx="2">
                  <c:v>4.3099999999999996</c:v>
                </c:pt>
              </c:numCache>
            </c:numRef>
          </c:val>
        </c:ser>
        <c:ser>
          <c:idx val="2"/>
          <c:order val="2"/>
          <c:tx>
            <c:strRef>
              <c:f>'Grafik batang'!$A$74</c:f>
              <c:strCache>
                <c:ptCount val="1"/>
                <c:pt idx="0">
                  <c:v>40</c:v>
                </c:pt>
              </c:strCache>
            </c:strRef>
          </c:tx>
          <c:invertIfNegative val="0"/>
          <c:cat>
            <c:strRef>
              <c:f>'Grafik batang'!$B$71:$D$71</c:f>
              <c:strCache>
                <c:ptCount val="3"/>
                <c:pt idx="0">
                  <c:v>EB</c:v>
                </c:pt>
                <c:pt idx="1">
                  <c:v>ED</c:v>
                </c:pt>
                <c:pt idx="2">
                  <c:v>EKB</c:v>
                </c:pt>
              </c:strCache>
            </c:strRef>
          </c:cat>
          <c:val>
            <c:numRef>
              <c:f>'Grafik batang'!$B$74:$D$74</c:f>
              <c:numCache>
                <c:formatCode>General</c:formatCode>
                <c:ptCount val="3"/>
                <c:pt idx="0">
                  <c:v>17.39</c:v>
                </c:pt>
                <c:pt idx="1">
                  <c:v>6.03</c:v>
                </c:pt>
                <c:pt idx="2">
                  <c:v>5.04</c:v>
                </c:pt>
              </c:numCache>
            </c:numRef>
          </c:val>
        </c:ser>
        <c:ser>
          <c:idx val="3"/>
          <c:order val="3"/>
          <c:tx>
            <c:strRef>
              <c:f>'Grafik batang'!$A$75</c:f>
              <c:strCache>
                <c:ptCount val="1"/>
                <c:pt idx="0">
                  <c:v>80</c:v>
                </c:pt>
              </c:strCache>
            </c:strRef>
          </c:tx>
          <c:invertIfNegative val="0"/>
          <c:cat>
            <c:strRef>
              <c:f>'Grafik batang'!$B$71:$D$71</c:f>
              <c:strCache>
                <c:ptCount val="3"/>
                <c:pt idx="0">
                  <c:v>EB</c:v>
                </c:pt>
                <c:pt idx="1">
                  <c:v>ED</c:v>
                </c:pt>
                <c:pt idx="2">
                  <c:v>EKB</c:v>
                </c:pt>
              </c:strCache>
            </c:strRef>
          </c:cat>
          <c:val>
            <c:numRef>
              <c:f>'Grafik batang'!$B$75:$D$75</c:f>
              <c:numCache>
                <c:formatCode>General</c:formatCode>
                <c:ptCount val="3"/>
                <c:pt idx="0">
                  <c:v>21.43</c:v>
                </c:pt>
                <c:pt idx="1">
                  <c:v>7.05</c:v>
                </c:pt>
                <c:pt idx="2">
                  <c:v>6.02</c:v>
                </c:pt>
              </c:numCache>
            </c:numRef>
          </c:val>
        </c:ser>
        <c:dLbls>
          <c:showLegendKey val="0"/>
          <c:showVal val="0"/>
          <c:showCatName val="0"/>
          <c:showSerName val="0"/>
          <c:showPercent val="0"/>
          <c:showBubbleSize val="0"/>
        </c:dLbls>
        <c:gapWidth val="300"/>
        <c:axId val="161800960"/>
        <c:axId val="161802880"/>
      </c:barChart>
      <c:catAx>
        <c:axId val="161800960"/>
        <c:scaling>
          <c:orientation val="minMax"/>
        </c:scaling>
        <c:delete val="0"/>
        <c:axPos val="b"/>
        <c:title>
          <c:tx>
            <c:rich>
              <a:bodyPr/>
              <a:lstStyle/>
              <a:p>
                <a:pPr>
                  <a:defRPr/>
                </a:pPr>
                <a:r>
                  <a:rPr lang="id-ID"/>
                  <a:t>Ekstrak Uji</a:t>
                </a:r>
              </a:p>
            </c:rich>
          </c:tx>
          <c:overlay val="0"/>
        </c:title>
        <c:majorTickMark val="none"/>
        <c:minorTickMark val="none"/>
        <c:tickLblPos val="nextTo"/>
        <c:crossAx val="161802880"/>
        <c:crosses val="autoZero"/>
        <c:auto val="1"/>
        <c:lblAlgn val="ctr"/>
        <c:lblOffset val="100"/>
        <c:noMultiLvlLbl val="0"/>
      </c:catAx>
      <c:valAx>
        <c:axId val="161802880"/>
        <c:scaling>
          <c:orientation val="minMax"/>
        </c:scaling>
        <c:delete val="0"/>
        <c:axPos val="l"/>
        <c:title>
          <c:tx>
            <c:rich>
              <a:bodyPr/>
              <a:lstStyle/>
              <a:p>
                <a:pPr>
                  <a:defRPr/>
                </a:pPr>
                <a:r>
                  <a:rPr lang="id-ID"/>
                  <a:t>Zona hambat </a:t>
                </a:r>
              </a:p>
              <a:p>
                <a:pPr>
                  <a:defRPr/>
                </a:pPr>
                <a:r>
                  <a:rPr lang="id-ID"/>
                  <a:t>S.epidermidis (mm)</a:t>
                </a:r>
              </a:p>
            </c:rich>
          </c:tx>
          <c:overlay val="0"/>
        </c:title>
        <c:numFmt formatCode="General" sourceLinked="1"/>
        <c:majorTickMark val="out"/>
        <c:minorTickMark val="none"/>
        <c:tickLblPos val="nextTo"/>
        <c:crossAx val="161800960"/>
        <c:crosses val="autoZero"/>
        <c:crossBetween val="between"/>
      </c:valAx>
    </c:plotArea>
    <c:legend>
      <c:legendPos val="r"/>
      <c:layout>
        <c:manualLayout>
          <c:xMode val="edge"/>
          <c:yMode val="edge"/>
          <c:x val="0.84964015367644263"/>
          <c:y val="0.25771297942595889"/>
          <c:w val="0.12137433907718057"/>
          <c:h val="0.5533905681144695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1298</Words>
  <Characters>7399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2018-08-01T07:51:00Z</dcterms:created>
  <dcterms:modified xsi:type="dcterms:W3CDTF">2018-08-01T07:53:00Z</dcterms:modified>
</cp:coreProperties>
</file>