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A2366" w14:textId="77777777" w:rsidR="00642A2A" w:rsidRPr="00262600" w:rsidRDefault="00642A2A" w:rsidP="00642A2A">
      <w:pPr>
        <w:rPr>
          <w:rFonts w:ascii="Arial" w:eastAsia="Calibri" w:hAnsi="Arial" w:cs="Arial"/>
          <w:sz w:val="15"/>
          <w:szCs w:val="15"/>
        </w:rPr>
      </w:pPr>
      <w:bookmarkStart w:id="0" w:name="_GoBack"/>
      <w:bookmarkEnd w:id="0"/>
      <w:r w:rsidRPr="00262600">
        <w:rPr>
          <w:rFonts w:ascii="Arial" w:eastAsia="Calibri" w:hAnsi="Arial" w:cs="Arial"/>
          <w:sz w:val="15"/>
          <w:szCs w:val="15"/>
        </w:rPr>
        <w:t>Original Article</w:t>
      </w:r>
    </w:p>
    <w:p w14:paraId="027CC777" w14:textId="77777777" w:rsidR="00642A2A" w:rsidRPr="00262600" w:rsidRDefault="00642A2A" w:rsidP="00642A2A">
      <w:pPr>
        <w:rPr>
          <w:rFonts w:ascii="Arial" w:hAnsi="Arial" w:cs="Arial"/>
          <w:sz w:val="32"/>
          <w:szCs w:val="32"/>
          <w:lang w:val="id-ID"/>
        </w:rPr>
      </w:pPr>
      <w:r w:rsidRPr="00262600">
        <w:rPr>
          <w:rFonts w:ascii="Arial" w:hAnsi="Arial" w:cs="Arial"/>
          <w:sz w:val="32"/>
          <w:szCs w:val="32"/>
        </w:rPr>
        <w:t xml:space="preserve">Pengaruh </w:t>
      </w:r>
      <w:r w:rsidRPr="00262600">
        <w:rPr>
          <w:rFonts w:ascii="Arial" w:hAnsi="Arial" w:cs="Arial"/>
          <w:i/>
          <w:sz w:val="32"/>
          <w:szCs w:val="32"/>
        </w:rPr>
        <w:t>Progressive Muscle Relaxation</w:t>
      </w:r>
      <w:r w:rsidRPr="00262600">
        <w:rPr>
          <w:rFonts w:ascii="Arial" w:hAnsi="Arial" w:cs="Arial"/>
          <w:sz w:val="32"/>
          <w:szCs w:val="32"/>
        </w:rPr>
        <w:t xml:space="preserve"> terhadap</w:t>
      </w:r>
      <w:r w:rsidRPr="00262600">
        <w:rPr>
          <w:rFonts w:ascii="Arial" w:hAnsi="Arial" w:cs="Arial"/>
          <w:sz w:val="32"/>
          <w:szCs w:val="32"/>
          <w:lang w:val="id-ID"/>
        </w:rPr>
        <w:t xml:space="preserve"> Nyeri </w:t>
      </w:r>
      <w:r w:rsidRPr="00262600">
        <w:rPr>
          <w:rFonts w:ascii="Arial" w:hAnsi="Arial" w:cs="Arial"/>
          <w:sz w:val="32"/>
          <w:szCs w:val="32"/>
        </w:rPr>
        <w:t>pada Klien Hemodialis</w:t>
      </w:r>
      <w:r w:rsidRPr="00262600">
        <w:rPr>
          <w:rFonts w:ascii="Arial" w:hAnsi="Arial" w:cs="Arial"/>
          <w:sz w:val="32"/>
          <w:szCs w:val="32"/>
          <w:lang w:val="id-ID"/>
        </w:rPr>
        <w:t>a</w:t>
      </w:r>
    </w:p>
    <w:p w14:paraId="07FCD7AE" w14:textId="77777777" w:rsidR="00642A2A" w:rsidRPr="00262600" w:rsidRDefault="00642A2A" w:rsidP="00642A2A">
      <w:pPr>
        <w:rPr>
          <w:rFonts w:ascii="Arial" w:eastAsia="Calibri" w:hAnsi="Arial" w:cs="Arial"/>
          <w:sz w:val="24"/>
        </w:rPr>
      </w:pPr>
      <w:r w:rsidRPr="00262600">
        <w:rPr>
          <w:rFonts w:ascii="Arial" w:eastAsia="Calibri" w:hAnsi="Arial" w:cs="Arial"/>
          <w:sz w:val="24"/>
        </w:rPr>
        <w:t xml:space="preserve">Habid Al Hasbi </w:t>
      </w:r>
      <w:r w:rsidRPr="00262600">
        <w:rPr>
          <w:rFonts w:ascii="Arial" w:eastAsia="Calibri" w:hAnsi="Arial" w:cs="Arial"/>
          <w:sz w:val="24"/>
          <w:vertAlign w:val="superscript"/>
        </w:rPr>
        <w:t>1</w:t>
      </w:r>
      <w:r w:rsidRPr="00262600">
        <w:rPr>
          <w:rFonts w:ascii="Arial" w:eastAsia="Calibri" w:hAnsi="Arial" w:cs="Arial"/>
          <w:sz w:val="24"/>
        </w:rPr>
        <w:t xml:space="preserve">, SN Nurul Makiyah </w:t>
      </w:r>
      <w:r w:rsidRPr="00262600">
        <w:rPr>
          <w:rFonts w:ascii="Arial" w:eastAsia="Calibri" w:hAnsi="Arial" w:cs="Arial"/>
          <w:sz w:val="24"/>
          <w:vertAlign w:val="superscript"/>
        </w:rPr>
        <w:t>2</w:t>
      </w:r>
      <w:r w:rsidRPr="00262600">
        <w:rPr>
          <w:rFonts w:ascii="Arial" w:eastAsia="Calibri" w:hAnsi="Arial" w:cs="Arial"/>
          <w:sz w:val="24"/>
        </w:rPr>
        <w:t xml:space="preserve">, Nur Chayati </w:t>
      </w:r>
      <w:r w:rsidRPr="00262600">
        <w:rPr>
          <w:rFonts w:ascii="Arial" w:eastAsia="Calibri" w:hAnsi="Arial" w:cs="Arial"/>
          <w:sz w:val="24"/>
          <w:vertAlign w:val="superscript"/>
        </w:rPr>
        <w:t>2</w:t>
      </w:r>
    </w:p>
    <w:p w14:paraId="09EAF194" w14:textId="77777777" w:rsidR="00642A2A" w:rsidRPr="00262600" w:rsidRDefault="00642A2A" w:rsidP="00642A2A">
      <w:pPr>
        <w:rPr>
          <w:rFonts w:ascii="Arial" w:eastAsia="Calibri" w:hAnsi="Arial" w:cs="Arial"/>
          <w:sz w:val="15"/>
          <w:szCs w:val="15"/>
          <w:vertAlign w:val="superscript"/>
          <w:lang w:val="id-ID"/>
        </w:rPr>
      </w:pPr>
      <w:r w:rsidRPr="00262600">
        <w:rPr>
          <w:rFonts w:ascii="Arial" w:eastAsia="Calibri" w:hAnsi="Arial" w:cs="Arial"/>
          <w:sz w:val="15"/>
          <w:szCs w:val="15"/>
          <w:vertAlign w:val="superscript"/>
        </w:rPr>
        <w:t>1</w:t>
      </w:r>
      <w:r w:rsidRPr="00262600">
        <w:rPr>
          <w:rFonts w:ascii="Arial" w:eastAsia="Calibri" w:hAnsi="Arial" w:cs="Arial"/>
          <w:sz w:val="15"/>
          <w:szCs w:val="15"/>
        </w:rPr>
        <w:t xml:space="preserve"> Mahasiswa Program Studi Magister Keperawatan Program Pascasarjana, Universitas Muhammadiyah Yogyakarta, Daerah Istimewa Yogyakarta, Indonesia</w:t>
      </w:r>
    </w:p>
    <w:p w14:paraId="15426A30" w14:textId="77777777" w:rsidR="00642A2A" w:rsidRPr="00262600" w:rsidRDefault="00642A2A" w:rsidP="00642A2A">
      <w:pPr>
        <w:rPr>
          <w:rFonts w:ascii="Arial" w:eastAsia="Calibri" w:hAnsi="Arial" w:cs="Arial"/>
          <w:sz w:val="15"/>
          <w:szCs w:val="15"/>
        </w:rPr>
      </w:pPr>
      <w:r w:rsidRPr="00262600">
        <w:rPr>
          <w:rFonts w:ascii="Arial" w:eastAsia="Calibri" w:hAnsi="Arial" w:cs="Arial"/>
          <w:sz w:val="15"/>
          <w:szCs w:val="15"/>
          <w:vertAlign w:val="superscript"/>
        </w:rPr>
        <w:t>2</w:t>
      </w:r>
      <w:r w:rsidRPr="00262600">
        <w:rPr>
          <w:rFonts w:ascii="Arial" w:eastAsia="Calibri" w:hAnsi="Arial" w:cs="Arial"/>
          <w:sz w:val="15"/>
          <w:szCs w:val="15"/>
        </w:rPr>
        <w:t xml:space="preserve"> </w:t>
      </w:r>
      <w:r w:rsidRPr="00262600">
        <w:rPr>
          <w:rFonts w:ascii="Arial" w:eastAsia="Calibri" w:hAnsi="Arial" w:cs="Arial"/>
          <w:sz w:val="15"/>
          <w:szCs w:val="15"/>
          <w:lang w:val="id-ID"/>
        </w:rPr>
        <w:t>Dosen Program Studi Kedokteran Fakultas Kedokteran dan Ilmu Kesehatan, Universitas Muhammadiyah Yogyakarta</w:t>
      </w:r>
    </w:p>
    <w:p w14:paraId="2FF07D32" w14:textId="77777777" w:rsidR="00642A2A" w:rsidRPr="00262600" w:rsidRDefault="00642A2A" w:rsidP="00642A2A">
      <w:pPr>
        <w:rPr>
          <w:rFonts w:ascii="Arial" w:eastAsia="Calibri" w:hAnsi="Arial" w:cs="Arial"/>
          <w:sz w:val="15"/>
          <w:szCs w:val="15"/>
          <w:lang w:val="id-ID"/>
        </w:rPr>
      </w:pPr>
      <w:r w:rsidRPr="00262600">
        <w:rPr>
          <w:rFonts w:ascii="Arial" w:eastAsia="Calibri" w:hAnsi="Arial" w:cs="Arial"/>
          <w:sz w:val="15"/>
          <w:szCs w:val="15"/>
          <w:vertAlign w:val="superscript"/>
        </w:rPr>
        <w:t xml:space="preserve">3 </w:t>
      </w:r>
      <w:r w:rsidRPr="00262600">
        <w:rPr>
          <w:rFonts w:ascii="Arial" w:eastAsia="Calibri" w:hAnsi="Arial" w:cs="Arial"/>
          <w:sz w:val="15"/>
          <w:szCs w:val="15"/>
          <w:lang w:val="id-ID"/>
        </w:rPr>
        <w:t>Dosen Program Studi Magister Keperawatan, Pogram Pasca Sarjana, Universitas Muhammadiyah Yogyakarta</w:t>
      </w:r>
    </w:p>
    <w:p w14:paraId="37FFBE3B" w14:textId="77777777" w:rsidR="00642A2A" w:rsidRPr="00262600" w:rsidRDefault="00642A2A" w:rsidP="00642A2A">
      <w:pPr>
        <w:rPr>
          <w:rFonts w:ascii="Arial" w:eastAsia="Calibri" w:hAnsi="Arial" w:cs="Arial"/>
          <w:sz w:val="15"/>
          <w:szCs w:val="15"/>
        </w:rPr>
      </w:pPr>
    </w:p>
    <w:p w14:paraId="6931B9D1" w14:textId="77777777" w:rsidR="00642A2A" w:rsidRPr="00262600" w:rsidRDefault="00642A2A" w:rsidP="00642A2A">
      <w:pPr>
        <w:pStyle w:val="Ventura-AuthorAddress"/>
        <w:rPr>
          <w:rFonts w:ascii="Arial" w:hAnsi="Arial" w:cs="Arial"/>
          <w:sz w:val="15"/>
          <w:szCs w:val="15"/>
          <w:lang w:eastAsia="id-ID"/>
        </w:rPr>
      </w:pPr>
    </w:p>
    <w:tbl>
      <w:tblPr>
        <w:tblStyle w:val="TableGrid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462"/>
      </w:tblGrid>
      <w:tr w:rsidR="00642A2A" w:rsidRPr="00262600" w14:paraId="7FC4B363" w14:textId="77777777" w:rsidTr="00CE323E">
        <w:trPr>
          <w:trHeight w:val="348"/>
        </w:trPr>
        <w:tc>
          <w:tcPr>
            <w:tcW w:w="3675" w:type="dxa"/>
            <w:tcBorders>
              <w:bottom w:val="single" w:sz="8" w:space="0" w:color="auto"/>
            </w:tcBorders>
            <w:shd w:val="clear" w:color="auto" w:fill="F2F2F2"/>
          </w:tcPr>
          <w:p w14:paraId="33B285B5" w14:textId="77777777" w:rsidR="00642A2A" w:rsidRPr="00262600" w:rsidRDefault="00642A2A" w:rsidP="00CE323E">
            <w:pPr>
              <w:rPr>
                <w:rFonts w:ascii="Arial" w:hAnsi="Arial" w:cs="Arial"/>
                <w:sz w:val="24"/>
              </w:rPr>
            </w:pPr>
            <w:r w:rsidRPr="00262600">
              <w:rPr>
                <w:rFonts w:ascii="Arial" w:hAnsi="Arial" w:cs="Arial"/>
                <w:sz w:val="24"/>
              </w:rPr>
              <w:t>Article Information</w:t>
            </w:r>
          </w:p>
        </w:tc>
        <w:tc>
          <w:tcPr>
            <w:tcW w:w="361" w:type="dxa"/>
            <w:vMerge w:val="restart"/>
          </w:tcPr>
          <w:p w14:paraId="62C0311E" w14:textId="77777777" w:rsidR="00642A2A" w:rsidRPr="00262600" w:rsidRDefault="00642A2A" w:rsidP="00CE323E">
            <w:pPr>
              <w:rPr>
                <w:rFonts w:ascii="Arial" w:hAnsi="Arial" w:cs="Arial"/>
                <w:sz w:val="15"/>
                <w:szCs w:val="15"/>
              </w:rPr>
            </w:pPr>
          </w:p>
        </w:tc>
        <w:tc>
          <w:tcPr>
            <w:tcW w:w="5462" w:type="dxa"/>
            <w:tcBorders>
              <w:bottom w:val="single" w:sz="8" w:space="0" w:color="auto"/>
            </w:tcBorders>
          </w:tcPr>
          <w:p w14:paraId="022926DE" w14:textId="77777777" w:rsidR="00642A2A" w:rsidRPr="004B17FB" w:rsidRDefault="00642A2A" w:rsidP="00CE323E">
            <w:pPr>
              <w:rPr>
                <w:rFonts w:ascii="Arial" w:hAnsi="Arial" w:cs="Arial"/>
                <w:b/>
                <w:bCs/>
                <w:sz w:val="24"/>
              </w:rPr>
            </w:pPr>
            <w:r w:rsidRPr="004B17FB">
              <w:rPr>
                <w:rFonts w:ascii="Arial" w:hAnsi="Arial" w:cs="Arial"/>
                <w:b/>
                <w:bCs/>
                <w:sz w:val="24"/>
              </w:rPr>
              <w:t>ABSTRACT</w:t>
            </w:r>
          </w:p>
        </w:tc>
      </w:tr>
      <w:tr w:rsidR="00642A2A" w:rsidRPr="00262600" w14:paraId="1BD6CF90" w14:textId="77777777" w:rsidTr="00CE323E">
        <w:trPr>
          <w:trHeight w:val="940"/>
        </w:trPr>
        <w:tc>
          <w:tcPr>
            <w:tcW w:w="3675" w:type="dxa"/>
            <w:tcBorders>
              <w:top w:val="single" w:sz="8" w:space="0" w:color="auto"/>
            </w:tcBorders>
          </w:tcPr>
          <w:p w14:paraId="3822EBA2" w14:textId="77777777" w:rsidR="00642A2A" w:rsidRPr="00262600" w:rsidRDefault="00642A2A" w:rsidP="00CE323E">
            <w:pPr>
              <w:rPr>
                <w:rFonts w:ascii="Arial" w:hAnsi="Arial" w:cs="Arial"/>
                <w:sz w:val="16"/>
                <w:szCs w:val="16"/>
              </w:rPr>
            </w:pPr>
          </w:p>
          <w:p w14:paraId="2EB66A6A" w14:textId="77777777" w:rsidR="00642A2A" w:rsidRPr="00262600" w:rsidRDefault="00642A2A" w:rsidP="00CE323E">
            <w:pPr>
              <w:rPr>
                <w:rFonts w:ascii="Arial" w:hAnsi="Arial" w:cs="Arial"/>
                <w:sz w:val="16"/>
                <w:szCs w:val="16"/>
              </w:rPr>
            </w:pPr>
            <w:r w:rsidRPr="00262600">
              <w:rPr>
                <w:rFonts w:ascii="Arial" w:hAnsi="Arial" w:cs="Arial"/>
                <w:sz w:val="16"/>
                <w:szCs w:val="16"/>
              </w:rPr>
              <w:t>Received: November 03, 2019</w:t>
            </w:r>
          </w:p>
          <w:p w14:paraId="271D1FB4" w14:textId="77777777" w:rsidR="00642A2A" w:rsidRPr="00262600" w:rsidRDefault="00642A2A" w:rsidP="00CE323E">
            <w:pPr>
              <w:rPr>
                <w:rFonts w:ascii="Arial" w:hAnsi="Arial" w:cs="Arial"/>
                <w:sz w:val="16"/>
                <w:szCs w:val="16"/>
              </w:rPr>
            </w:pPr>
            <w:r w:rsidRPr="00262600">
              <w:rPr>
                <w:rFonts w:ascii="Arial" w:hAnsi="Arial" w:cs="Arial"/>
                <w:sz w:val="16"/>
                <w:szCs w:val="16"/>
              </w:rPr>
              <w:t xml:space="preserve">Revised: </w:t>
            </w:r>
            <w:r w:rsidRPr="00262600">
              <w:rPr>
                <w:rFonts w:ascii="Arial" w:hAnsi="Arial" w:cs="Arial"/>
                <w:sz w:val="16"/>
                <w:szCs w:val="16"/>
              </w:rPr>
              <w:fldChar w:fldCharType="begin"/>
            </w:r>
            <w:r w:rsidRPr="00262600">
              <w:rPr>
                <w:rFonts w:ascii="Arial" w:hAnsi="Arial" w:cs="Arial"/>
                <w:sz w:val="16"/>
                <w:szCs w:val="16"/>
              </w:rPr>
              <w:instrText xml:space="preserve"> MACROBUTTON Revised March 00, 00 </w:instrText>
            </w:r>
            <w:r w:rsidRPr="00262600">
              <w:rPr>
                <w:rFonts w:ascii="Arial" w:hAnsi="Arial" w:cs="Arial"/>
                <w:sz w:val="16"/>
                <w:szCs w:val="16"/>
              </w:rPr>
              <w:fldChar w:fldCharType="end"/>
            </w:r>
          </w:p>
          <w:p w14:paraId="235602E6" w14:textId="77777777" w:rsidR="00642A2A" w:rsidRPr="00262600" w:rsidRDefault="00642A2A" w:rsidP="00CE323E">
            <w:pPr>
              <w:rPr>
                <w:rFonts w:ascii="Arial" w:hAnsi="Arial" w:cs="Arial"/>
                <w:sz w:val="16"/>
                <w:szCs w:val="16"/>
              </w:rPr>
            </w:pPr>
            <w:r w:rsidRPr="00262600">
              <w:rPr>
                <w:rFonts w:ascii="Arial" w:hAnsi="Arial" w:cs="Arial"/>
                <w:sz w:val="16"/>
                <w:szCs w:val="16"/>
              </w:rPr>
              <w:t xml:space="preserve">Available online: </w:t>
            </w:r>
            <w:r w:rsidRPr="00262600">
              <w:rPr>
                <w:rFonts w:ascii="Arial" w:hAnsi="Arial" w:cs="Arial"/>
                <w:sz w:val="16"/>
                <w:szCs w:val="16"/>
              </w:rPr>
              <w:fldChar w:fldCharType="begin"/>
            </w:r>
            <w:r w:rsidRPr="00262600">
              <w:rPr>
                <w:rFonts w:ascii="Arial" w:hAnsi="Arial" w:cs="Arial"/>
                <w:sz w:val="16"/>
                <w:szCs w:val="16"/>
              </w:rPr>
              <w:instrText xml:space="preserve"> MACROBUTTON Published April 00, 00 </w:instrText>
            </w:r>
            <w:r w:rsidRPr="00262600">
              <w:rPr>
                <w:rFonts w:ascii="Arial" w:hAnsi="Arial" w:cs="Arial"/>
                <w:sz w:val="16"/>
                <w:szCs w:val="16"/>
              </w:rPr>
              <w:fldChar w:fldCharType="end"/>
            </w:r>
          </w:p>
          <w:p w14:paraId="35BA0879" w14:textId="77777777" w:rsidR="00642A2A" w:rsidRPr="00262600" w:rsidRDefault="00642A2A" w:rsidP="00CE323E">
            <w:pPr>
              <w:rPr>
                <w:rFonts w:ascii="Arial" w:hAnsi="Arial" w:cs="Arial"/>
                <w:sz w:val="15"/>
                <w:szCs w:val="15"/>
              </w:rPr>
            </w:pPr>
          </w:p>
        </w:tc>
        <w:tc>
          <w:tcPr>
            <w:tcW w:w="361" w:type="dxa"/>
            <w:vMerge/>
          </w:tcPr>
          <w:p w14:paraId="3CE3D868" w14:textId="77777777" w:rsidR="00642A2A" w:rsidRPr="00262600" w:rsidRDefault="00642A2A" w:rsidP="00CE323E">
            <w:pPr>
              <w:rPr>
                <w:rFonts w:ascii="Arial" w:hAnsi="Arial" w:cs="Arial"/>
                <w:sz w:val="15"/>
                <w:szCs w:val="15"/>
              </w:rPr>
            </w:pPr>
          </w:p>
        </w:tc>
        <w:tc>
          <w:tcPr>
            <w:tcW w:w="5462" w:type="dxa"/>
            <w:vMerge w:val="restart"/>
            <w:tcBorders>
              <w:top w:val="single" w:sz="8" w:space="0" w:color="auto"/>
            </w:tcBorders>
          </w:tcPr>
          <w:p w14:paraId="0BF1EE71" w14:textId="77777777" w:rsidR="00642A2A" w:rsidRPr="00262600" w:rsidRDefault="00642A2A" w:rsidP="00262600">
            <w:pPr>
              <w:jc w:val="both"/>
              <w:rPr>
                <w:rFonts w:ascii="Arial" w:hAnsi="Arial" w:cs="Arial"/>
                <w:b/>
                <w:bCs/>
                <w:sz w:val="15"/>
                <w:szCs w:val="15"/>
              </w:rPr>
            </w:pPr>
            <w:r w:rsidRPr="00262600">
              <w:rPr>
                <w:rFonts w:ascii="Arial" w:hAnsi="Arial" w:cs="Arial"/>
                <w:b/>
                <w:bCs/>
                <w:sz w:val="15"/>
                <w:szCs w:val="15"/>
              </w:rPr>
              <w:t xml:space="preserve">Background: </w:t>
            </w:r>
            <w:r w:rsidRPr="00262600">
              <w:rPr>
                <w:rFonts w:ascii="Arial" w:hAnsi="Arial" w:cs="Arial"/>
                <w:sz w:val="15"/>
                <w:szCs w:val="15"/>
              </w:rPr>
              <w:t>Chronic kidney disease merupakan salah satu penyakit tidak menular yang saat ini menjadi masalah kesehatan masyarakat, baik dunia maupun di Indonesia. Pasien chronic kidney disease harus menjalani terapi secara rutin salah satunya hemodialisa. Efek samping terapi hemodialisa yang sering dijumpai adalah nyeri.</w:t>
            </w:r>
            <w:r w:rsidRPr="00262600">
              <w:rPr>
                <w:rFonts w:ascii="Arial" w:hAnsi="Arial" w:cs="Arial"/>
                <w:b/>
                <w:bCs/>
                <w:sz w:val="15"/>
                <w:szCs w:val="15"/>
              </w:rPr>
              <w:t xml:space="preserve"> </w:t>
            </w:r>
          </w:p>
          <w:p w14:paraId="5B5524AA" w14:textId="77777777" w:rsidR="00642A2A" w:rsidRPr="00262600" w:rsidRDefault="00642A2A" w:rsidP="00262600">
            <w:pPr>
              <w:jc w:val="both"/>
              <w:rPr>
                <w:rFonts w:ascii="Arial" w:hAnsi="Arial" w:cs="Arial"/>
                <w:b/>
                <w:bCs/>
                <w:sz w:val="15"/>
                <w:szCs w:val="15"/>
              </w:rPr>
            </w:pPr>
            <w:r w:rsidRPr="00262600">
              <w:rPr>
                <w:rFonts w:ascii="Arial" w:hAnsi="Arial" w:cs="Arial"/>
                <w:b/>
                <w:bCs/>
                <w:sz w:val="15"/>
                <w:szCs w:val="15"/>
              </w:rPr>
              <w:t>Objective: U</w:t>
            </w:r>
            <w:r w:rsidRPr="00262600">
              <w:rPr>
                <w:rFonts w:ascii="Arial" w:hAnsi="Arial" w:cs="Arial"/>
                <w:sz w:val="15"/>
                <w:szCs w:val="15"/>
              </w:rPr>
              <w:t xml:space="preserve">ntuk mengetahui manfaat terapi non-farmakologi </w:t>
            </w:r>
            <w:r w:rsidRPr="00262600">
              <w:rPr>
                <w:rFonts w:ascii="Arial" w:hAnsi="Arial" w:cs="Arial"/>
                <w:i/>
                <w:iCs/>
                <w:sz w:val="15"/>
                <w:szCs w:val="15"/>
              </w:rPr>
              <w:t xml:space="preserve">progressive muscle relaxation </w:t>
            </w:r>
            <w:r w:rsidRPr="00262600">
              <w:rPr>
                <w:rFonts w:ascii="Arial" w:hAnsi="Arial" w:cs="Arial"/>
                <w:sz w:val="15"/>
                <w:szCs w:val="15"/>
              </w:rPr>
              <w:t>untuk mengurangi nyeri pada pasien chronic kidney disease.</w:t>
            </w:r>
          </w:p>
          <w:p w14:paraId="6C6C6FC3" w14:textId="77777777" w:rsidR="00642A2A" w:rsidRPr="00262600" w:rsidRDefault="00642A2A" w:rsidP="00262600">
            <w:pPr>
              <w:jc w:val="both"/>
              <w:rPr>
                <w:rFonts w:ascii="Arial" w:hAnsi="Arial" w:cs="Arial"/>
                <w:b/>
                <w:bCs/>
                <w:sz w:val="15"/>
                <w:szCs w:val="15"/>
              </w:rPr>
            </w:pPr>
            <w:r w:rsidRPr="00262600">
              <w:rPr>
                <w:rFonts w:ascii="Arial" w:hAnsi="Arial" w:cs="Arial"/>
                <w:b/>
                <w:bCs/>
                <w:sz w:val="15"/>
                <w:szCs w:val="15"/>
              </w:rPr>
              <w:t xml:space="preserve">Methods: </w:t>
            </w:r>
            <w:r w:rsidRPr="00262600">
              <w:rPr>
                <w:rFonts w:ascii="Arial" w:hAnsi="Arial" w:cs="Arial"/>
                <w:sz w:val="15"/>
                <w:szCs w:val="15"/>
              </w:rPr>
              <w:t xml:space="preserve">Desain penelitian ini adalah quasy-experimental time series design dengan rancangan pre-test and post-test with control group design. Pengambilan sampel dengan teknik simple random sampling terdiri dari 50 responden untuk kedua kelompok dengan analisis bivariat menggunakan chi square. Progressive muscle relaxation diberikan setiap hari selama 4 minggu. Instrumen penelitian menggunakan Brief Pain Inventory. </w:t>
            </w:r>
          </w:p>
          <w:p w14:paraId="17087C29" w14:textId="77777777" w:rsidR="00642A2A" w:rsidRPr="00262600" w:rsidRDefault="00642A2A" w:rsidP="00262600">
            <w:pPr>
              <w:jc w:val="both"/>
              <w:rPr>
                <w:rFonts w:ascii="Arial" w:hAnsi="Arial" w:cs="Arial"/>
                <w:sz w:val="15"/>
                <w:szCs w:val="15"/>
              </w:rPr>
            </w:pPr>
            <w:r w:rsidRPr="00262600">
              <w:rPr>
                <w:rFonts w:ascii="Arial" w:hAnsi="Arial" w:cs="Arial"/>
                <w:b/>
                <w:bCs/>
                <w:sz w:val="15"/>
                <w:szCs w:val="15"/>
              </w:rPr>
              <w:t xml:space="preserve">Results: </w:t>
            </w:r>
            <w:r w:rsidRPr="00262600">
              <w:rPr>
                <w:rFonts w:ascii="Arial" w:hAnsi="Arial" w:cs="Arial"/>
                <w:sz w:val="15"/>
                <w:szCs w:val="15"/>
              </w:rPr>
              <w:t xml:space="preserve">Hasil penelitian ada perbedaan tingkat nyeri antara kelompok kontrol dengan kelompok intervensi dengan nilai p&lt;0.05. </w:t>
            </w:r>
          </w:p>
          <w:p w14:paraId="3B8FEF29" w14:textId="77777777" w:rsidR="00642A2A" w:rsidRPr="00262600" w:rsidRDefault="00642A2A" w:rsidP="00262600">
            <w:pPr>
              <w:jc w:val="both"/>
              <w:rPr>
                <w:rFonts w:ascii="Arial" w:hAnsi="Arial" w:cs="Arial"/>
                <w:sz w:val="15"/>
                <w:szCs w:val="15"/>
              </w:rPr>
            </w:pPr>
            <w:r w:rsidRPr="00262600">
              <w:rPr>
                <w:rFonts w:ascii="Arial" w:hAnsi="Arial" w:cs="Arial"/>
                <w:b/>
                <w:bCs/>
                <w:sz w:val="15"/>
                <w:szCs w:val="15"/>
              </w:rPr>
              <w:t xml:space="preserve">Conclusion: </w:t>
            </w:r>
            <w:r w:rsidRPr="00262600">
              <w:rPr>
                <w:rFonts w:ascii="Arial" w:hAnsi="Arial" w:cs="Arial"/>
                <w:sz w:val="15"/>
                <w:szCs w:val="15"/>
              </w:rPr>
              <w:t>Terapi non-farmakologi progressive muscle relaxation terbukti dapat mengurangi nyeri pada pasien hemodialisa.</w:t>
            </w:r>
          </w:p>
        </w:tc>
      </w:tr>
      <w:tr w:rsidR="00642A2A" w:rsidRPr="00262600" w14:paraId="3E5FC78F" w14:textId="77777777" w:rsidTr="00CE323E">
        <w:trPr>
          <w:trHeight w:val="348"/>
        </w:trPr>
        <w:tc>
          <w:tcPr>
            <w:tcW w:w="3675" w:type="dxa"/>
            <w:tcBorders>
              <w:bottom w:val="single" w:sz="8" w:space="0" w:color="auto"/>
            </w:tcBorders>
            <w:shd w:val="clear" w:color="auto" w:fill="F2F2F2"/>
          </w:tcPr>
          <w:p w14:paraId="1AE58EB9" w14:textId="77777777" w:rsidR="00642A2A" w:rsidRPr="00262600" w:rsidRDefault="00642A2A" w:rsidP="00CE323E">
            <w:pPr>
              <w:rPr>
                <w:rFonts w:ascii="Arial" w:hAnsi="Arial" w:cs="Arial"/>
                <w:sz w:val="24"/>
              </w:rPr>
            </w:pPr>
            <w:r w:rsidRPr="00262600">
              <w:rPr>
                <w:rFonts w:ascii="Arial" w:hAnsi="Arial" w:cs="Arial"/>
                <w:sz w:val="24"/>
              </w:rPr>
              <w:t>Keywords</w:t>
            </w:r>
          </w:p>
        </w:tc>
        <w:tc>
          <w:tcPr>
            <w:tcW w:w="361" w:type="dxa"/>
            <w:vMerge/>
          </w:tcPr>
          <w:p w14:paraId="73A106A7" w14:textId="77777777" w:rsidR="00642A2A" w:rsidRPr="00262600" w:rsidRDefault="00642A2A" w:rsidP="00CE323E">
            <w:pPr>
              <w:rPr>
                <w:rFonts w:ascii="Arial" w:hAnsi="Arial" w:cs="Arial"/>
                <w:sz w:val="15"/>
                <w:szCs w:val="15"/>
              </w:rPr>
            </w:pPr>
          </w:p>
        </w:tc>
        <w:tc>
          <w:tcPr>
            <w:tcW w:w="5462" w:type="dxa"/>
            <w:vMerge/>
          </w:tcPr>
          <w:p w14:paraId="03891E65" w14:textId="77777777" w:rsidR="00642A2A" w:rsidRPr="00262600" w:rsidRDefault="00642A2A" w:rsidP="00CE323E">
            <w:pPr>
              <w:rPr>
                <w:rFonts w:ascii="Arial" w:hAnsi="Arial" w:cs="Arial"/>
                <w:sz w:val="15"/>
                <w:szCs w:val="15"/>
              </w:rPr>
            </w:pPr>
          </w:p>
        </w:tc>
      </w:tr>
      <w:tr w:rsidR="00642A2A" w:rsidRPr="00262600" w14:paraId="2564E07C" w14:textId="77777777" w:rsidTr="00CE323E">
        <w:trPr>
          <w:trHeight w:val="278"/>
        </w:trPr>
        <w:tc>
          <w:tcPr>
            <w:tcW w:w="3675" w:type="dxa"/>
            <w:tcBorders>
              <w:top w:val="single" w:sz="8" w:space="0" w:color="auto"/>
            </w:tcBorders>
          </w:tcPr>
          <w:p w14:paraId="7B777BA2" w14:textId="77777777" w:rsidR="00642A2A" w:rsidRPr="00262600" w:rsidRDefault="00642A2A" w:rsidP="00CE323E">
            <w:pPr>
              <w:rPr>
                <w:rFonts w:ascii="Arial" w:hAnsi="Arial" w:cs="Arial"/>
                <w:sz w:val="18"/>
                <w:szCs w:val="18"/>
              </w:rPr>
            </w:pPr>
            <w:r w:rsidRPr="00262600">
              <w:rPr>
                <w:rFonts w:ascii="Arial" w:hAnsi="Arial" w:cs="Arial"/>
                <w:sz w:val="18"/>
                <w:szCs w:val="18"/>
              </w:rPr>
              <w:t>Progressive muscle relaxation, hemodialisa, nyeri</w:t>
            </w:r>
          </w:p>
          <w:p w14:paraId="31CEE904" w14:textId="77777777" w:rsidR="00642A2A" w:rsidRPr="00262600" w:rsidRDefault="00642A2A" w:rsidP="00CE323E">
            <w:pPr>
              <w:rPr>
                <w:rFonts w:ascii="Arial" w:hAnsi="Arial" w:cs="Arial"/>
                <w:sz w:val="18"/>
                <w:szCs w:val="18"/>
                <w:lang w:val="id-ID"/>
              </w:rPr>
            </w:pPr>
          </w:p>
        </w:tc>
        <w:tc>
          <w:tcPr>
            <w:tcW w:w="361" w:type="dxa"/>
            <w:vMerge/>
          </w:tcPr>
          <w:p w14:paraId="69CE1F55" w14:textId="77777777" w:rsidR="00642A2A" w:rsidRPr="00262600" w:rsidRDefault="00642A2A" w:rsidP="00CE323E">
            <w:pPr>
              <w:rPr>
                <w:rFonts w:ascii="Arial" w:hAnsi="Arial" w:cs="Arial"/>
                <w:sz w:val="15"/>
                <w:szCs w:val="15"/>
              </w:rPr>
            </w:pPr>
          </w:p>
        </w:tc>
        <w:tc>
          <w:tcPr>
            <w:tcW w:w="5462" w:type="dxa"/>
            <w:vMerge/>
          </w:tcPr>
          <w:p w14:paraId="2394FAC3" w14:textId="77777777" w:rsidR="00642A2A" w:rsidRPr="00262600" w:rsidRDefault="00642A2A" w:rsidP="00CE323E">
            <w:pPr>
              <w:rPr>
                <w:rFonts w:ascii="Arial" w:hAnsi="Arial" w:cs="Arial"/>
                <w:sz w:val="15"/>
                <w:szCs w:val="15"/>
              </w:rPr>
            </w:pPr>
          </w:p>
        </w:tc>
      </w:tr>
      <w:tr w:rsidR="00642A2A" w:rsidRPr="00262600" w14:paraId="0945E618" w14:textId="77777777" w:rsidTr="00CE323E">
        <w:trPr>
          <w:trHeight w:val="278"/>
        </w:trPr>
        <w:tc>
          <w:tcPr>
            <w:tcW w:w="3675" w:type="dxa"/>
            <w:tcBorders>
              <w:bottom w:val="single" w:sz="8" w:space="0" w:color="auto"/>
            </w:tcBorders>
            <w:shd w:val="clear" w:color="auto" w:fill="F2F2F2"/>
          </w:tcPr>
          <w:p w14:paraId="2A04C020" w14:textId="77777777" w:rsidR="00642A2A" w:rsidRPr="00262600" w:rsidRDefault="00642A2A" w:rsidP="00CE323E">
            <w:pPr>
              <w:rPr>
                <w:rFonts w:ascii="Arial" w:hAnsi="Arial" w:cs="Arial"/>
                <w:sz w:val="24"/>
              </w:rPr>
            </w:pPr>
            <w:r w:rsidRPr="00262600">
              <w:rPr>
                <w:rFonts w:ascii="Arial" w:hAnsi="Arial" w:cs="Arial"/>
                <w:sz w:val="24"/>
              </w:rPr>
              <w:t>Correspondence</w:t>
            </w:r>
          </w:p>
        </w:tc>
        <w:tc>
          <w:tcPr>
            <w:tcW w:w="361" w:type="dxa"/>
            <w:vMerge/>
          </w:tcPr>
          <w:p w14:paraId="134B659E" w14:textId="77777777" w:rsidR="00642A2A" w:rsidRPr="00262600" w:rsidRDefault="00642A2A" w:rsidP="00CE323E">
            <w:pPr>
              <w:rPr>
                <w:rFonts w:ascii="Arial" w:hAnsi="Arial" w:cs="Arial"/>
                <w:sz w:val="15"/>
                <w:szCs w:val="15"/>
              </w:rPr>
            </w:pPr>
          </w:p>
        </w:tc>
        <w:tc>
          <w:tcPr>
            <w:tcW w:w="5462" w:type="dxa"/>
            <w:vMerge/>
          </w:tcPr>
          <w:p w14:paraId="4E8617A5" w14:textId="77777777" w:rsidR="00642A2A" w:rsidRPr="00262600" w:rsidRDefault="00642A2A" w:rsidP="00CE323E">
            <w:pPr>
              <w:rPr>
                <w:rFonts w:ascii="Arial" w:hAnsi="Arial" w:cs="Arial"/>
                <w:sz w:val="15"/>
                <w:szCs w:val="15"/>
              </w:rPr>
            </w:pPr>
          </w:p>
        </w:tc>
      </w:tr>
      <w:tr w:rsidR="00642A2A" w:rsidRPr="00262600" w14:paraId="140E9304" w14:textId="77777777" w:rsidTr="00CE323E">
        <w:trPr>
          <w:trHeight w:val="278"/>
        </w:trPr>
        <w:tc>
          <w:tcPr>
            <w:tcW w:w="3675" w:type="dxa"/>
            <w:tcBorders>
              <w:top w:val="single" w:sz="8" w:space="0" w:color="auto"/>
              <w:bottom w:val="single" w:sz="8" w:space="0" w:color="auto"/>
            </w:tcBorders>
          </w:tcPr>
          <w:p w14:paraId="5998CF54" w14:textId="77777777" w:rsidR="00642A2A" w:rsidRPr="00262600" w:rsidRDefault="00642A2A" w:rsidP="00CE323E">
            <w:pPr>
              <w:rPr>
                <w:rFonts w:ascii="Arial" w:hAnsi="Arial" w:cs="Arial"/>
                <w:sz w:val="16"/>
                <w:szCs w:val="16"/>
              </w:rPr>
            </w:pPr>
            <w:r w:rsidRPr="00262600">
              <w:rPr>
                <w:rFonts w:ascii="Arial" w:hAnsi="Arial" w:cs="Arial"/>
                <w:sz w:val="16"/>
                <w:szCs w:val="16"/>
              </w:rPr>
              <w:t>Phone: +628179415535</w:t>
            </w:r>
          </w:p>
          <w:p w14:paraId="5656B496" w14:textId="77777777" w:rsidR="00642A2A" w:rsidRPr="00262600" w:rsidRDefault="00642A2A" w:rsidP="00CE323E">
            <w:pPr>
              <w:rPr>
                <w:rFonts w:ascii="Arial" w:hAnsi="Arial" w:cs="Arial"/>
                <w:sz w:val="16"/>
                <w:szCs w:val="16"/>
              </w:rPr>
            </w:pPr>
            <w:r w:rsidRPr="00262600">
              <w:rPr>
                <w:rFonts w:ascii="Arial" w:hAnsi="Arial" w:cs="Arial"/>
                <w:sz w:val="16"/>
                <w:szCs w:val="16"/>
              </w:rPr>
              <w:t>E-mail: habid.al@gmail.com</w:t>
            </w:r>
          </w:p>
        </w:tc>
        <w:tc>
          <w:tcPr>
            <w:tcW w:w="361" w:type="dxa"/>
            <w:vMerge/>
          </w:tcPr>
          <w:p w14:paraId="575ACDFC" w14:textId="77777777" w:rsidR="00642A2A" w:rsidRPr="00262600" w:rsidRDefault="00642A2A" w:rsidP="00CE323E">
            <w:pPr>
              <w:rPr>
                <w:rFonts w:ascii="Arial" w:hAnsi="Arial" w:cs="Arial"/>
                <w:sz w:val="15"/>
                <w:szCs w:val="15"/>
              </w:rPr>
            </w:pPr>
          </w:p>
        </w:tc>
        <w:tc>
          <w:tcPr>
            <w:tcW w:w="5462" w:type="dxa"/>
            <w:vMerge/>
            <w:tcBorders>
              <w:bottom w:val="single" w:sz="8" w:space="0" w:color="auto"/>
            </w:tcBorders>
          </w:tcPr>
          <w:p w14:paraId="519D212D" w14:textId="77777777" w:rsidR="00642A2A" w:rsidRPr="00262600" w:rsidRDefault="00642A2A" w:rsidP="00CE323E">
            <w:pPr>
              <w:rPr>
                <w:rFonts w:ascii="Arial" w:hAnsi="Arial" w:cs="Arial"/>
                <w:sz w:val="15"/>
                <w:szCs w:val="15"/>
              </w:rPr>
            </w:pPr>
          </w:p>
        </w:tc>
      </w:tr>
    </w:tbl>
    <w:p w14:paraId="0E2AC7DD" w14:textId="77777777" w:rsidR="00642A2A" w:rsidRPr="00262600" w:rsidRDefault="00642A2A" w:rsidP="00642A2A">
      <w:pPr>
        <w:pStyle w:val="Ventura-Content"/>
        <w:rPr>
          <w:rFonts w:ascii="Arial" w:hAnsi="Arial" w:cs="Arial"/>
          <w:sz w:val="15"/>
          <w:szCs w:val="15"/>
        </w:rPr>
      </w:pPr>
    </w:p>
    <w:p w14:paraId="1A4220BC" w14:textId="77777777" w:rsidR="00642A2A" w:rsidRPr="009873EC" w:rsidRDefault="00642A2A" w:rsidP="00642A2A">
      <w:pPr>
        <w:pStyle w:val="Ventura-Content"/>
        <w:rPr>
          <w:rFonts w:ascii="Arial" w:hAnsi="Arial" w:cs="Arial"/>
          <w:sz w:val="21"/>
          <w:szCs w:val="21"/>
        </w:rPr>
        <w:sectPr w:rsidR="00642A2A" w:rsidRPr="009873EC" w:rsidSect="00CD6BB4">
          <w:headerReference w:type="even" r:id="rId7"/>
          <w:headerReference w:type="default" r:id="rId8"/>
          <w:footerReference w:type="even" r:id="rId9"/>
          <w:footerReference w:type="default" r:id="rId10"/>
          <w:headerReference w:type="first" r:id="rId11"/>
          <w:footerReference w:type="first" r:id="rId12"/>
          <w:pgSz w:w="11907" w:h="16840" w:code="9"/>
          <w:pgMar w:top="1701" w:right="1247" w:bottom="1531" w:left="1134" w:header="1021" w:footer="1077" w:gutter="0"/>
          <w:pgNumType w:start="1"/>
          <w:cols w:space="720"/>
          <w:titlePg/>
          <w:docGrid w:linePitch="360"/>
        </w:sectPr>
      </w:pPr>
    </w:p>
    <w:p w14:paraId="75EE8FA8" w14:textId="77777777" w:rsidR="00642A2A" w:rsidRPr="009873EC" w:rsidRDefault="00642A2A" w:rsidP="00642A2A">
      <w:pPr>
        <w:rPr>
          <w:rFonts w:ascii="Arial" w:hAnsi="Arial" w:cs="Arial"/>
          <w:b/>
          <w:bCs/>
          <w:sz w:val="21"/>
          <w:szCs w:val="21"/>
          <w:lang w:val="id-ID"/>
        </w:rPr>
      </w:pPr>
      <w:r w:rsidRPr="009873EC">
        <w:rPr>
          <w:rFonts w:ascii="Arial" w:hAnsi="Arial" w:cs="Arial"/>
          <w:b/>
          <w:bCs/>
          <w:sz w:val="21"/>
          <w:szCs w:val="21"/>
        </w:rPr>
        <w:t>INTRODUCTION</w:t>
      </w:r>
    </w:p>
    <w:p w14:paraId="5C0A052F" w14:textId="762B193B"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i/>
          <w:sz w:val="15"/>
          <w:szCs w:val="15"/>
        </w:rPr>
        <w:t xml:space="preserve">Chronic Kidney Disease </w:t>
      </w:r>
      <w:r w:rsidRPr="00262600">
        <w:rPr>
          <w:rFonts w:ascii="Arial" w:eastAsia="Calibri" w:hAnsi="Arial" w:cs="Arial"/>
          <w:sz w:val="15"/>
          <w:szCs w:val="15"/>
        </w:rPr>
        <w:t xml:space="preserve">(CKD) merupakan salah satu penyakit tidak menular yang saat ini menjadi masalah kesehatan masyarakat, baik dunia maupun di Indonesia. Tingkat prevalensi CKD di seluruh dunia semakin meningkat sehingga CKD menjadi tantangan global untuk diatasi. Penderita penyakit CKD di seluruh dunia mencapai 11-13% </w:t>
      </w:r>
      <w:r w:rsidRPr="00262600">
        <w:rPr>
          <w:rFonts w:ascii="Arial" w:eastAsia="Calibri" w:hAnsi="Arial" w:cs="Arial"/>
          <w:sz w:val="15"/>
          <w:szCs w:val="15"/>
          <w:vertAlign w:val="superscript"/>
        </w:rPr>
        <w:t>1</w:t>
      </w:r>
      <w:r w:rsidRPr="00262600">
        <w:rPr>
          <w:rFonts w:ascii="Arial" w:eastAsia="Calibri" w:hAnsi="Arial" w:cs="Arial"/>
          <w:sz w:val="15"/>
          <w:szCs w:val="15"/>
        </w:rPr>
        <w:t>.</w:t>
      </w:r>
    </w:p>
    <w:p w14:paraId="0775BE4F" w14:textId="6D384EC0"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sz w:val="15"/>
          <w:szCs w:val="15"/>
        </w:rPr>
        <w:t xml:space="preserve">Tingginya angka kejadian CKD harus dilakukan tindakan untuk mengatasi permasalahan seperti retensi cairan, nyeri dan gangguan tidur </w:t>
      </w:r>
      <w:r w:rsidRPr="00262600">
        <w:rPr>
          <w:rFonts w:ascii="Arial" w:eastAsia="Calibri" w:hAnsi="Arial" w:cs="Arial"/>
          <w:sz w:val="15"/>
          <w:szCs w:val="15"/>
          <w:vertAlign w:val="superscript"/>
        </w:rPr>
        <w:t>2,3</w:t>
      </w:r>
      <w:r w:rsidRPr="00262600">
        <w:rPr>
          <w:rFonts w:ascii="Arial" w:eastAsia="Calibri" w:hAnsi="Arial" w:cs="Arial"/>
          <w:sz w:val="15"/>
          <w:szCs w:val="15"/>
        </w:rPr>
        <w:t xml:space="preserve">. Hemodialisa adalah terapi alternatif pada pasien stadium akhir CKD </w:t>
      </w:r>
      <w:r w:rsidRPr="00262600">
        <w:rPr>
          <w:rFonts w:ascii="Arial" w:eastAsia="Calibri" w:hAnsi="Arial" w:cs="Arial"/>
          <w:sz w:val="15"/>
          <w:szCs w:val="15"/>
          <w:vertAlign w:val="superscript"/>
        </w:rPr>
        <w:t>4</w:t>
      </w:r>
      <w:r w:rsidRPr="00262600">
        <w:rPr>
          <w:rFonts w:ascii="Arial" w:eastAsia="Calibri" w:hAnsi="Arial" w:cs="Arial"/>
          <w:sz w:val="15"/>
          <w:szCs w:val="15"/>
        </w:rPr>
        <w:t xml:space="preserve">. Terapi hemodialisa aman dan bermanfaat untuk pasien CKD namun ada efek samping yang dapat mengakibatkan terjadinya perubahan fisiologis yang bisa terjadi berupa rasa haus berlebihan, tenggorokan kering, tidak selera makan, gastritis, konstipasi, kesulitan bernafas, kelemahan, nyeri dan gangguan tidur </w:t>
      </w:r>
      <w:r w:rsidRPr="00262600">
        <w:rPr>
          <w:rFonts w:ascii="Arial" w:eastAsia="Calibri" w:hAnsi="Arial" w:cs="Arial"/>
          <w:sz w:val="15"/>
          <w:szCs w:val="15"/>
          <w:vertAlign w:val="superscript"/>
        </w:rPr>
        <w:t>2</w:t>
      </w:r>
      <w:r w:rsidRPr="00262600">
        <w:rPr>
          <w:rFonts w:ascii="Arial" w:eastAsia="Calibri" w:hAnsi="Arial" w:cs="Arial"/>
          <w:sz w:val="15"/>
          <w:szCs w:val="15"/>
        </w:rPr>
        <w:t>.</w:t>
      </w:r>
    </w:p>
    <w:p w14:paraId="4B129532" w14:textId="58F54289"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sz w:val="15"/>
          <w:szCs w:val="15"/>
        </w:rPr>
        <w:t xml:space="preserve">Hasil studi pendahuluan di PKU Muhammadiyah Gamping Yogyakarta, peneliti mewancarai 12 pasien, dengan menggunakan </w:t>
      </w:r>
      <w:r w:rsidRPr="00262600">
        <w:rPr>
          <w:rFonts w:ascii="Arial" w:eastAsia="Calibri" w:hAnsi="Arial" w:cs="Arial"/>
          <w:i/>
          <w:sz w:val="15"/>
          <w:szCs w:val="15"/>
        </w:rPr>
        <w:t>Brief Pain Inventory</w:t>
      </w:r>
      <w:r w:rsidRPr="00262600">
        <w:rPr>
          <w:rFonts w:ascii="Arial" w:eastAsia="Calibri" w:hAnsi="Arial" w:cs="Arial"/>
          <w:sz w:val="15"/>
          <w:szCs w:val="15"/>
        </w:rPr>
        <w:t xml:space="preserve"> (BPI). Hasil wawancara dengan 12 pasien ditemukan keluhan nyeri sebanyak 4 pasien. Intervensi keperawatan sangat diperlukan untuk mengatasi nyeri pasien CKD, baik dengan memberikan terapi farmakologi dan non-farmakologi. Terapi farmakologi untuk nyeri ringan biasanya melibatkan penggunaan analgesik non-opioid, termasuk asetaminofen dan obat antiinflamasi non-steroid (NSAID). Nyeri sedang, memungkinkan penambahan opioid dengan potensi rendah seperti kodein, oksikodon, tramadol dan dihidrokodein atau hidrokodon, sedangkan untuk rasa nyeri yang parah, memungkinkan penambahan opioid yang lebih kuat, termasuk morfin, hidromotor, metadon dan fentanil </w:t>
      </w:r>
      <w:r w:rsidR="004F50D5" w:rsidRPr="00262600">
        <w:rPr>
          <w:rFonts w:ascii="Arial" w:eastAsia="Calibri" w:hAnsi="Arial" w:cs="Arial"/>
          <w:sz w:val="15"/>
          <w:szCs w:val="15"/>
          <w:vertAlign w:val="superscript"/>
        </w:rPr>
        <w:t>5</w:t>
      </w:r>
      <w:r w:rsidRPr="00262600">
        <w:rPr>
          <w:rFonts w:ascii="Arial" w:eastAsia="Calibri" w:hAnsi="Arial" w:cs="Arial"/>
          <w:sz w:val="15"/>
          <w:szCs w:val="15"/>
        </w:rPr>
        <w:t xml:space="preserve">. Terapi farmakologi membutuhkan biaya, serta dalam durasi yang lama dapat menyebabkan komplikasi salah satunya kandungan opioid menyebabkan konstipasi 16%, mual 15%, pusing atau vertigo 8%, </w:t>
      </w:r>
      <w:r w:rsidRPr="00262600">
        <w:rPr>
          <w:rFonts w:ascii="Arial" w:eastAsia="Calibri" w:hAnsi="Arial" w:cs="Arial"/>
          <w:i/>
          <w:sz w:val="15"/>
          <w:szCs w:val="15"/>
        </w:rPr>
        <w:t xml:space="preserve">somnolence </w:t>
      </w:r>
      <w:r w:rsidRPr="00262600">
        <w:rPr>
          <w:rFonts w:ascii="Arial" w:eastAsia="Calibri" w:hAnsi="Arial" w:cs="Arial"/>
          <w:sz w:val="15"/>
          <w:szCs w:val="15"/>
        </w:rPr>
        <w:t xml:space="preserve">9%, muntah 5%, kulit kering dan gatal atau pruritus 4% </w:t>
      </w:r>
      <w:r w:rsidR="004F50D5" w:rsidRPr="00262600">
        <w:rPr>
          <w:rFonts w:ascii="Arial" w:eastAsia="Calibri" w:hAnsi="Arial" w:cs="Arial"/>
          <w:sz w:val="15"/>
          <w:szCs w:val="15"/>
          <w:vertAlign w:val="superscript"/>
        </w:rPr>
        <w:t>6,7</w:t>
      </w:r>
      <w:r w:rsidR="004F50D5" w:rsidRPr="00262600">
        <w:rPr>
          <w:rFonts w:ascii="Arial" w:eastAsia="Calibri" w:hAnsi="Arial" w:cs="Arial"/>
          <w:sz w:val="15"/>
          <w:szCs w:val="15"/>
        </w:rPr>
        <w:t>.</w:t>
      </w:r>
    </w:p>
    <w:p w14:paraId="22F2775B" w14:textId="1C4038E0"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sz w:val="15"/>
          <w:szCs w:val="15"/>
        </w:rPr>
        <w:t xml:space="preserve">Terapi non-farmakologi atau lebih dikenal dengan </w:t>
      </w:r>
      <w:r w:rsidRPr="00262600">
        <w:rPr>
          <w:rFonts w:ascii="Arial" w:eastAsia="Calibri" w:hAnsi="Arial" w:cs="Arial"/>
          <w:i/>
          <w:sz w:val="15"/>
          <w:szCs w:val="15"/>
        </w:rPr>
        <w:t xml:space="preserve">Complementary and Alternative Medicine </w:t>
      </w:r>
      <w:r w:rsidRPr="00262600">
        <w:rPr>
          <w:rFonts w:ascii="Arial" w:eastAsia="Calibri" w:hAnsi="Arial" w:cs="Arial"/>
          <w:sz w:val="15"/>
          <w:szCs w:val="15"/>
        </w:rPr>
        <w:t xml:space="preserve">(CAM) sangat popular dan penting dari sisi kesehatan, ekonomi, pendamping terapi medis dan minim efek samping </w:t>
      </w:r>
      <w:r w:rsidR="004F50D5" w:rsidRPr="00262600">
        <w:rPr>
          <w:rFonts w:ascii="Arial" w:eastAsia="Calibri" w:hAnsi="Arial" w:cs="Arial"/>
          <w:sz w:val="15"/>
          <w:szCs w:val="15"/>
          <w:vertAlign w:val="superscript"/>
        </w:rPr>
        <w:t>8,9</w:t>
      </w:r>
      <w:r w:rsidRPr="00262600">
        <w:rPr>
          <w:rFonts w:ascii="Arial" w:eastAsia="Calibri" w:hAnsi="Arial" w:cs="Arial"/>
          <w:sz w:val="15"/>
          <w:szCs w:val="15"/>
        </w:rPr>
        <w:t xml:space="preserve">. Jenis terapi non-farmakologi seperti diet, modifikasi gaya hidup, pengobatan herbal, </w:t>
      </w:r>
      <w:r w:rsidRPr="00262600">
        <w:rPr>
          <w:rFonts w:ascii="Arial" w:eastAsia="Calibri" w:hAnsi="Arial" w:cs="Arial"/>
          <w:i/>
          <w:sz w:val="15"/>
          <w:szCs w:val="15"/>
        </w:rPr>
        <w:t xml:space="preserve">massage, exercise, acupuntur </w:t>
      </w:r>
      <w:r w:rsidRPr="00262600">
        <w:rPr>
          <w:rFonts w:ascii="Arial" w:eastAsia="Calibri" w:hAnsi="Arial" w:cs="Arial"/>
          <w:sz w:val="15"/>
          <w:szCs w:val="15"/>
        </w:rPr>
        <w:t xml:space="preserve">dan </w:t>
      </w:r>
      <w:r w:rsidRPr="00262600">
        <w:rPr>
          <w:rFonts w:ascii="Arial" w:eastAsia="Calibri" w:hAnsi="Arial" w:cs="Arial"/>
          <w:i/>
          <w:sz w:val="15"/>
          <w:szCs w:val="15"/>
        </w:rPr>
        <w:t xml:space="preserve">cognitive behavioral therapy </w:t>
      </w:r>
      <w:r w:rsidRPr="00262600">
        <w:rPr>
          <w:rFonts w:ascii="Arial" w:eastAsia="Calibri" w:hAnsi="Arial" w:cs="Arial"/>
          <w:sz w:val="15"/>
          <w:szCs w:val="15"/>
        </w:rPr>
        <w:t>(CBT)</w:t>
      </w:r>
      <w:r w:rsidR="004F50D5" w:rsidRPr="00262600">
        <w:rPr>
          <w:rFonts w:ascii="Arial" w:eastAsia="Calibri" w:hAnsi="Arial" w:cs="Arial"/>
          <w:sz w:val="15"/>
          <w:szCs w:val="15"/>
        </w:rPr>
        <w:t xml:space="preserve"> </w:t>
      </w:r>
      <w:r w:rsidR="004F50D5" w:rsidRPr="00262600">
        <w:rPr>
          <w:rFonts w:ascii="Arial" w:eastAsia="Calibri" w:hAnsi="Arial" w:cs="Arial"/>
          <w:sz w:val="15"/>
          <w:szCs w:val="15"/>
          <w:vertAlign w:val="superscript"/>
        </w:rPr>
        <w:t>5</w:t>
      </w:r>
      <w:r w:rsidR="00A5424E" w:rsidRPr="00262600">
        <w:rPr>
          <w:rFonts w:ascii="Arial" w:eastAsia="Calibri" w:hAnsi="Arial" w:cs="Arial"/>
          <w:sz w:val="15"/>
          <w:szCs w:val="15"/>
          <w:vertAlign w:val="superscript"/>
        </w:rPr>
        <w:t>,10</w:t>
      </w:r>
      <w:r w:rsidRPr="00262600">
        <w:rPr>
          <w:rFonts w:ascii="Arial" w:eastAsia="Calibri" w:hAnsi="Arial" w:cs="Arial"/>
          <w:sz w:val="15"/>
          <w:szCs w:val="15"/>
        </w:rPr>
        <w:t xml:space="preserve">. Terapi CAM dapat </w:t>
      </w:r>
      <w:r w:rsidRPr="00262600">
        <w:rPr>
          <w:rFonts w:ascii="Arial" w:eastAsia="Calibri" w:hAnsi="Arial" w:cs="Arial"/>
          <w:sz w:val="15"/>
          <w:szCs w:val="15"/>
          <w:lang w:val="id-ID"/>
        </w:rPr>
        <w:t>menurunkan nyeri</w:t>
      </w:r>
      <w:r w:rsidRPr="00262600">
        <w:rPr>
          <w:rFonts w:ascii="Arial" w:eastAsia="Calibri" w:hAnsi="Arial" w:cs="Arial"/>
          <w:sz w:val="15"/>
          <w:szCs w:val="15"/>
        </w:rPr>
        <w:t xml:space="preserve"> dengan intervensi CBT salah satunya dengan </w:t>
      </w:r>
      <w:r w:rsidRPr="00262600">
        <w:rPr>
          <w:rFonts w:ascii="Arial" w:eastAsia="Calibri" w:hAnsi="Arial" w:cs="Arial"/>
          <w:i/>
          <w:sz w:val="15"/>
          <w:szCs w:val="15"/>
        </w:rPr>
        <w:t>mind-body</w:t>
      </w:r>
      <w:r w:rsidRPr="00262600">
        <w:rPr>
          <w:rFonts w:ascii="Arial" w:eastAsia="Calibri" w:hAnsi="Arial" w:cs="Arial"/>
          <w:sz w:val="15"/>
          <w:szCs w:val="15"/>
        </w:rPr>
        <w:t xml:space="preserve"> (</w:t>
      </w:r>
      <w:r w:rsidRPr="00262600">
        <w:rPr>
          <w:rFonts w:ascii="Arial" w:eastAsia="Calibri" w:hAnsi="Arial" w:cs="Arial"/>
          <w:i/>
          <w:sz w:val="15"/>
          <w:szCs w:val="15"/>
        </w:rPr>
        <w:t>relaxation techniques (progressive muscle relaxation), imagery, spiritual healing/prayer, biofeedback, hypnosis, meditation, yoga</w:t>
      </w:r>
      <w:r w:rsidRPr="00262600">
        <w:rPr>
          <w:rFonts w:ascii="Arial" w:eastAsia="Calibri" w:hAnsi="Arial" w:cs="Arial"/>
          <w:sz w:val="15"/>
          <w:szCs w:val="15"/>
        </w:rPr>
        <w:t xml:space="preserve">) </w:t>
      </w:r>
      <w:r w:rsidR="00A5424E" w:rsidRPr="00262600">
        <w:rPr>
          <w:rFonts w:ascii="Arial" w:eastAsia="Calibri" w:hAnsi="Arial" w:cs="Arial"/>
          <w:sz w:val="15"/>
          <w:szCs w:val="15"/>
          <w:vertAlign w:val="superscript"/>
        </w:rPr>
        <w:t>11</w:t>
      </w:r>
      <w:r w:rsidRPr="00262600">
        <w:rPr>
          <w:rFonts w:ascii="Arial" w:eastAsia="Calibri" w:hAnsi="Arial" w:cs="Arial"/>
          <w:sz w:val="15"/>
          <w:szCs w:val="15"/>
        </w:rPr>
        <w:t>.</w:t>
      </w:r>
    </w:p>
    <w:p w14:paraId="4AD9AFE1" w14:textId="141E76C6"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i/>
          <w:sz w:val="15"/>
          <w:szCs w:val="15"/>
          <w:lang w:val="id-ID"/>
        </w:rPr>
        <w:t>Progressive Muscle Relaxation</w:t>
      </w:r>
      <w:r w:rsidRPr="00262600">
        <w:rPr>
          <w:rFonts w:ascii="Arial" w:eastAsia="Calibri" w:hAnsi="Arial" w:cs="Arial"/>
          <w:sz w:val="15"/>
          <w:szCs w:val="15"/>
          <w:lang w:val="id-ID"/>
        </w:rPr>
        <w:t xml:space="preserve"> (PMR), merupakan teknik relaksasi CAM yang termurah yang ada dalam </w:t>
      </w:r>
      <w:r w:rsidRPr="00262600">
        <w:rPr>
          <w:rFonts w:ascii="Arial" w:eastAsia="Calibri" w:hAnsi="Arial" w:cs="Arial"/>
          <w:i/>
          <w:sz w:val="15"/>
          <w:szCs w:val="15"/>
          <w:lang w:val="id-ID"/>
        </w:rPr>
        <w:t>Nursing Intervention Classification</w:t>
      </w:r>
      <w:r w:rsidRPr="00262600">
        <w:rPr>
          <w:rFonts w:ascii="Arial" w:eastAsia="Calibri" w:hAnsi="Arial" w:cs="Arial"/>
          <w:sz w:val="15"/>
          <w:szCs w:val="15"/>
          <w:lang w:val="id-ID"/>
        </w:rPr>
        <w:t xml:space="preserve"> (NIC) non-invasif, mudah dipelajari yang berperan dapat menurunkan nyeri, masalah tidur, kecemasan dan lain sebagainya, tanpa komplikasi yang dapat dilakukan secara mandiri oleh pasien sendiri </w:t>
      </w:r>
      <w:r w:rsidR="00A5424E" w:rsidRPr="00262600">
        <w:rPr>
          <w:rFonts w:ascii="Arial" w:eastAsia="Calibri" w:hAnsi="Arial" w:cs="Arial"/>
          <w:sz w:val="15"/>
          <w:szCs w:val="15"/>
          <w:vertAlign w:val="superscript"/>
        </w:rPr>
        <w:t>12,13,14</w:t>
      </w:r>
      <w:r w:rsidR="00A5424E" w:rsidRPr="00262600">
        <w:rPr>
          <w:rFonts w:ascii="Arial" w:eastAsia="Calibri" w:hAnsi="Arial" w:cs="Arial"/>
          <w:sz w:val="15"/>
          <w:szCs w:val="15"/>
        </w:rPr>
        <w:t>.</w:t>
      </w:r>
    </w:p>
    <w:p w14:paraId="1C3D3211" w14:textId="5CA2936B" w:rsidR="00642A2A" w:rsidRPr="00262600" w:rsidRDefault="00642A2A" w:rsidP="00642A2A">
      <w:pPr>
        <w:ind w:firstLine="720"/>
        <w:jc w:val="both"/>
        <w:rPr>
          <w:rFonts w:ascii="Arial" w:eastAsia="Calibri" w:hAnsi="Arial" w:cs="Arial"/>
          <w:sz w:val="15"/>
          <w:szCs w:val="15"/>
          <w:lang w:val="id-ID"/>
        </w:rPr>
      </w:pPr>
      <w:r w:rsidRPr="00262600">
        <w:rPr>
          <w:rFonts w:ascii="Arial" w:eastAsia="Calibri" w:hAnsi="Arial" w:cs="Arial"/>
          <w:sz w:val="15"/>
          <w:szCs w:val="15"/>
          <w:lang w:val="id-ID"/>
        </w:rPr>
        <w:t xml:space="preserve">Terapi PMR dapat </w:t>
      </w:r>
      <w:r w:rsidRPr="00262600">
        <w:rPr>
          <w:rFonts w:ascii="Arial" w:eastAsia="Calibri" w:hAnsi="Arial" w:cs="Arial"/>
          <w:sz w:val="15"/>
          <w:szCs w:val="15"/>
        </w:rPr>
        <w:t>menurunkan</w:t>
      </w:r>
      <w:r w:rsidRPr="00262600">
        <w:rPr>
          <w:rFonts w:ascii="Arial" w:eastAsia="Calibri" w:hAnsi="Arial" w:cs="Arial"/>
          <w:sz w:val="15"/>
          <w:szCs w:val="15"/>
          <w:lang w:val="id-ID"/>
        </w:rPr>
        <w:t xml:space="preserve"> </w:t>
      </w:r>
      <w:r w:rsidRPr="00262600">
        <w:rPr>
          <w:rFonts w:ascii="Arial" w:eastAsia="Calibri" w:hAnsi="Arial" w:cs="Arial"/>
          <w:sz w:val="15"/>
          <w:szCs w:val="15"/>
        </w:rPr>
        <w:t>aktivitas</w:t>
      </w:r>
      <w:r w:rsidRPr="00262600">
        <w:rPr>
          <w:rFonts w:ascii="Arial" w:eastAsia="Calibri" w:hAnsi="Arial" w:cs="Arial"/>
          <w:sz w:val="15"/>
          <w:szCs w:val="15"/>
          <w:lang w:val="id-ID"/>
        </w:rPr>
        <w:t xml:space="preserve"> </w:t>
      </w:r>
      <w:r w:rsidRPr="00262600">
        <w:rPr>
          <w:rFonts w:ascii="Arial" w:eastAsia="Calibri" w:hAnsi="Arial" w:cs="Arial"/>
          <w:sz w:val="15"/>
          <w:szCs w:val="15"/>
        </w:rPr>
        <w:t>adregenik</w:t>
      </w:r>
      <w:r w:rsidRPr="00262600">
        <w:rPr>
          <w:rFonts w:ascii="Arial" w:eastAsia="Calibri" w:hAnsi="Arial" w:cs="Arial"/>
          <w:sz w:val="15"/>
          <w:szCs w:val="15"/>
          <w:lang w:val="id-ID"/>
        </w:rPr>
        <w:t xml:space="preserve"> </w:t>
      </w:r>
      <w:r w:rsidRPr="00262600">
        <w:rPr>
          <w:rFonts w:ascii="Arial" w:eastAsia="Calibri" w:hAnsi="Arial" w:cs="Arial"/>
          <w:sz w:val="15"/>
          <w:szCs w:val="15"/>
        </w:rPr>
        <w:t>dengan</w:t>
      </w:r>
      <w:r w:rsidRPr="00262600">
        <w:rPr>
          <w:rFonts w:ascii="Arial" w:eastAsia="Calibri" w:hAnsi="Arial" w:cs="Arial"/>
          <w:sz w:val="15"/>
          <w:szCs w:val="15"/>
          <w:lang w:val="id-ID"/>
        </w:rPr>
        <w:t xml:space="preserve"> </w:t>
      </w:r>
      <w:r w:rsidRPr="00262600">
        <w:rPr>
          <w:rFonts w:ascii="Arial" w:eastAsia="Calibri" w:hAnsi="Arial" w:cs="Arial"/>
          <w:sz w:val="15"/>
          <w:szCs w:val="15"/>
        </w:rPr>
        <w:t>selalu</w:t>
      </w:r>
      <w:r w:rsidRPr="00262600">
        <w:rPr>
          <w:rFonts w:ascii="Arial" w:eastAsia="Calibri" w:hAnsi="Arial" w:cs="Arial"/>
          <w:sz w:val="15"/>
          <w:szCs w:val="15"/>
          <w:lang w:val="id-ID"/>
        </w:rPr>
        <w:t xml:space="preserve"> </w:t>
      </w:r>
      <w:r w:rsidRPr="00262600">
        <w:rPr>
          <w:rFonts w:ascii="Arial" w:eastAsia="Calibri" w:hAnsi="Arial" w:cs="Arial"/>
          <w:sz w:val="15"/>
          <w:szCs w:val="15"/>
        </w:rPr>
        <w:t>melakukan</w:t>
      </w:r>
      <w:r w:rsidRPr="00262600">
        <w:rPr>
          <w:rFonts w:ascii="Arial" w:eastAsia="Calibri" w:hAnsi="Arial" w:cs="Arial"/>
          <w:sz w:val="15"/>
          <w:szCs w:val="15"/>
          <w:lang w:val="id-ID"/>
        </w:rPr>
        <w:t xml:space="preserve"> </w:t>
      </w:r>
      <w:r w:rsidRPr="00262600">
        <w:rPr>
          <w:rFonts w:ascii="Arial" w:eastAsia="Calibri" w:hAnsi="Arial" w:cs="Arial"/>
          <w:sz w:val="15"/>
          <w:szCs w:val="15"/>
        </w:rPr>
        <w:t>gerakan</w:t>
      </w:r>
      <w:r w:rsidRPr="00262600">
        <w:rPr>
          <w:rFonts w:ascii="Arial" w:eastAsia="Calibri" w:hAnsi="Arial" w:cs="Arial"/>
          <w:sz w:val="15"/>
          <w:szCs w:val="15"/>
          <w:lang w:val="id-ID"/>
        </w:rPr>
        <w:t xml:space="preserve"> </w:t>
      </w:r>
      <w:r w:rsidRPr="00262600">
        <w:rPr>
          <w:rFonts w:ascii="Arial" w:eastAsia="Calibri" w:hAnsi="Arial" w:cs="Arial"/>
          <w:sz w:val="15"/>
          <w:szCs w:val="15"/>
        </w:rPr>
        <w:t>menegangkan</w:t>
      </w:r>
      <w:r w:rsidRPr="00262600">
        <w:rPr>
          <w:rFonts w:ascii="Arial" w:eastAsia="Calibri" w:hAnsi="Arial" w:cs="Arial"/>
          <w:sz w:val="15"/>
          <w:szCs w:val="15"/>
          <w:lang w:val="id-ID"/>
        </w:rPr>
        <w:t xml:space="preserve"> </w:t>
      </w:r>
      <w:r w:rsidRPr="00262600">
        <w:rPr>
          <w:rFonts w:ascii="Arial" w:eastAsia="Calibri" w:hAnsi="Arial" w:cs="Arial"/>
          <w:sz w:val="15"/>
          <w:szCs w:val="15"/>
        </w:rPr>
        <w:t>dan</w:t>
      </w:r>
      <w:r w:rsidRPr="00262600">
        <w:rPr>
          <w:rFonts w:ascii="Arial" w:eastAsia="Calibri" w:hAnsi="Arial" w:cs="Arial"/>
          <w:sz w:val="15"/>
          <w:szCs w:val="15"/>
          <w:lang w:val="id-ID"/>
        </w:rPr>
        <w:t xml:space="preserve"> </w:t>
      </w:r>
      <w:r w:rsidRPr="00262600">
        <w:rPr>
          <w:rFonts w:ascii="Arial" w:eastAsia="Calibri" w:hAnsi="Arial" w:cs="Arial"/>
          <w:sz w:val="15"/>
          <w:szCs w:val="15"/>
        </w:rPr>
        <w:t>mengendorkan</w:t>
      </w:r>
      <w:r w:rsidRPr="00262600">
        <w:rPr>
          <w:rFonts w:ascii="Arial" w:eastAsia="Calibri" w:hAnsi="Arial" w:cs="Arial"/>
          <w:sz w:val="15"/>
          <w:szCs w:val="15"/>
          <w:lang w:val="id-ID"/>
        </w:rPr>
        <w:t xml:space="preserve"> </w:t>
      </w:r>
      <w:r w:rsidRPr="00262600">
        <w:rPr>
          <w:rFonts w:ascii="Arial" w:eastAsia="Calibri" w:hAnsi="Arial" w:cs="Arial"/>
          <w:sz w:val="15"/>
          <w:szCs w:val="15"/>
        </w:rPr>
        <w:t>otot</w:t>
      </w:r>
      <w:r w:rsidRPr="00262600">
        <w:rPr>
          <w:rFonts w:ascii="Arial" w:eastAsia="Calibri" w:hAnsi="Arial" w:cs="Arial"/>
          <w:sz w:val="15"/>
          <w:szCs w:val="15"/>
          <w:lang w:val="id-ID"/>
        </w:rPr>
        <w:t xml:space="preserve"> </w:t>
      </w:r>
      <w:r w:rsidRPr="00262600">
        <w:rPr>
          <w:rFonts w:ascii="Arial" w:eastAsia="Calibri" w:hAnsi="Arial" w:cs="Arial"/>
          <w:sz w:val="15"/>
          <w:szCs w:val="15"/>
        </w:rPr>
        <w:t>diseluruh</w:t>
      </w:r>
      <w:r w:rsidRPr="00262600">
        <w:rPr>
          <w:rFonts w:ascii="Arial" w:eastAsia="Calibri" w:hAnsi="Arial" w:cs="Arial"/>
          <w:sz w:val="15"/>
          <w:szCs w:val="15"/>
          <w:lang w:val="id-ID"/>
        </w:rPr>
        <w:t xml:space="preserve"> </w:t>
      </w:r>
      <w:r w:rsidRPr="00262600">
        <w:rPr>
          <w:rFonts w:ascii="Arial" w:eastAsia="Calibri" w:hAnsi="Arial" w:cs="Arial"/>
          <w:sz w:val="15"/>
          <w:szCs w:val="15"/>
        </w:rPr>
        <w:t>tubuh</w:t>
      </w:r>
      <w:r w:rsidRPr="00262600">
        <w:rPr>
          <w:rFonts w:ascii="Arial" w:eastAsia="Calibri" w:hAnsi="Arial" w:cs="Arial"/>
          <w:sz w:val="15"/>
          <w:szCs w:val="15"/>
          <w:lang w:val="id-ID"/>
        </w:rPr>
        <w:t xml:space="preserve">, serta merangsang pengeluaran zat kimia alami dalam tubuh yaitu </w:t>
      </w:r>
      <w:r w:rsidRPr="00262600">
        <w:rPr>
          <w:rFonts w:ascii="Arial" w:eastAsia="Calibri" w:hAnsi="Arial" w:cs="Arial"/>
          <w:i/>
          <w:sz w:val="15"/>
          <w:szCs w:val="15"/>
          <w:lang w:val="id-ID"/>
        </w:rPr>
        <w:t xml:space="preserve">beta endorphin </w:t>
      </w:r>
      <w:r w:rsidRPr="00262600">
        <w:rPr>
          <w:rFonts w:ascii="Arial" w:eastAsia="Calibri" w:hAnsi="Arial" w:cs="Arial"/>
          <w:sz w:val="15"/>
          <w:szCs w:val="15"/>
          <w:lang w:val="id-ID"/>
        </w:rPr>
        <w:t>dan</w:t>
      </w:r>
      <w:r w:rsidRPr="00262600">
        <w:rPr>
          <w:rFonts w:ascii="Arial" w:eastAsia="Calibri" w:hAnsi="Arial" w:cs="Arial"/>
          <w:i/>
          <w:sz w:val="15"/>
          <w:szCs w:val="15"/>
          <w:lang w:val="id-ID"/>
        </w:rPr>
        <w:t xml:space="preserve"> enkefalin </w:t>
      </w:r>
      <w:r w:rsidRPr="00262600">
        <w:rPr>
          <w:rFonts w:ascii="Arial" w:eastAsia="Calibri" w:hAnsi="Arial" w:cs="Arial"/>
          <w:sz w:val="15"/>
          <w:szCs w:val="15"/>
          <w:lang w:val="id-ID"/>
        </w:rPr>
        <w:t xml:space="preserve">yang berfungsi sebagai </w:t>
      </w:r>
      <w:r w:rsidRPr="00262600">
        <w:rPr>
          <w:rFonts w:ascii="Arial" w:eastAsia="Calibri" w:hAnsi="Arial" w:cs="Arial"/>
          <w:i/>
          <w:sz w:val="15"/>
          <w:szCs w:val="15"/>
          <w:lang w:val="id-ID"/>
        </w:rPr>
        <w:t xml:space="preserve">natural painkiller </w:t>
      </w:r>
      <w:r w:rsidR="006C470D" w:rsidRPr="00262600">
        <w:rPr>
          <w:rFonts w:ascii="Arial" w:eastAsia="Calibri" w:hAnsi="Arial" w:cs="Arial"/>
          <w:iCs/>
          <w:sz w:val="15"/>
          <w:szCs w:val="15"/>
          <w:vertAlign w:val="superscript"/>
        </w:rPr>
        <w:t>15</w:t>
      </w:r>
      <w:r w:rsidR="006C470D" w:rsidRPr="00262600">
        <w:rPr>
          <w:rFonts w:ascii="Arial" w:eastAsia="Calibri" w:hAnsi="Arial" w:cs="Arial"/>
          <w:sz w:val="15"/>
          <w:szCs w:val="15"/>
        </w:rPr>
        <w:t>,</w:t>
      </w:r>
      <w:r w:rsidRPr="00262600">
        <w:rPr>
          <w:rFonts w:ascii="Arial" w:eastAsia="Calibri" w:hAnsi="Arial" w:cs="Arial"/>
          <w:sz w:val="15"/>
          <w:szCs w:val="15"/>
          <w:lang w:val="id-ID"/>
        </w:rPr>
        <w:t xml:space="preserve"> dengan menghambat impuls nyeri dengan memblok transmisi di dalam otak dan medula spinalis</w:t>
      </w:r>
      <w:r w:rsidR="006C470D" w:rsidRPr="00262600">
        <w:rPr>
          <w:rFonts w:ascii="Arial" w:eastAsia="Calibri" w:hAnsi="Arial" w:cs="Arial"/>
          <w:sz w:val="15"/>
          <w:szCs w:val="15"/>
        </w:rPr>
        <w:t xml:space="preserve"> </w:t>
      </w:r>
      <w:r w:rsidR="006C470D" w:rsidRPr="00262600">
        <w:rPr>
          <w:rFonts w:ascii="Arial" w:eastAsia="Calibri" w:hAnsi="Arial" w:cs="Arial"/>
          <w:sz w:val="15"/>
          <w:szCs w:val="15"/>
          <w:vertAlign w:val="superscript"/>
        </w:rPr>
        <w:t>2</w:t>
      </w:r>
      <w:r w:rsidRPr="00262600">
        <w:rPr>
          <w:rFonts w:ascii="Arial" w:eastAsia="Calibri" w:hAnsi="Arial" w:cs="Arial"/>
          <w:sz w:val="15"/>
          <w:szCs w:val="15"/>
          <w:lang w:val="id-ID"/>
        </w:rPr>
        <w:t xml:space="preserve">. </w:t>
      </w:r>
      <w:r w:rsidRPr="00262600">
        <w:rPr>
          <w:rFonts w:ascii="Arial" w:eastAsia="Calibri" w:hAnsi="Arial" w:cs="Arial"/>
          <w:sz w:val="15"/>
          <w:szCs w:val="15"/>
        </w:rPr>
        <w:t>Ti</w:t>
      </w:r>
      <w:r w:rsidRPr="00262600">
        <w:rPr>
          <w:rFonts w:ascii="Arial" w:eastAsia="Calibri" w:hAnsi="Arial" w:cs="Arial"/>
          <w:sz w:val="15"/>
          <w:szCs w:val="15"/>
          <w:lang w:val="id-ID"/>
        </w:rPr>
        <w:t>n</w:t>
      </w:r>
      <w:r w:rsidRPr="00262600">
        <w:rPr>
          <w:rFonts w:ascii="Arial" w:eastAsia="Calibri" w:hAnsi="Arial" w:cs="Arial"/>
          <w:sz w:val="15"/>
          <w:szCs w:val="15"/>
        </w:rPr>
        <w:t>dakan</w:t>
      </w:r>
      <w:r w:rsidRPr="00262600">
        <w:rPr>
          <w:rFonts w:ascii="Arial" w:eastAsia="Calibri" w:hAnsi="Arial" w:cs="Arial"/>
          <w:sz w:val="15"/>
          <w:szCs w:val="15"/>
          <w:lang w:val="id-ID"/>
        </w:rPr>
        <w:t xml:space="preserve"> </w:t>
      </w:r>
      <w:r w:rsidRPr="00262600">
        <w:rPr>
          <w:rFonts w:ascii="Arial" w:eastAsia="Calibri" w:hAnsi="Arial" w:cs="Arial"/>
          <w:sz w:val="15"/>
          <w:szCs w:val="15"/>
        </w:rPr>
        <w:t>tersebut</w:t>
      </w:r>
      <w:r w:rsidRPr="00262600">
        <w:rPr>
          <w:rFonts w:ascii="Arial" w:eastAsia="Calibri" w:hAnsi="Arial" w:cs="Arial"/>
          <w:sz w:val="15"/>
          <w:szCs w:val="15"/>
          <w:lang w:val="id-ID"/>
        </w:rPr>
        <w:t xml:space="preserve"> </w:t>
      </w:r>
      <w:r w:rsidRPr="00262600">
        <w:rPr>
          <w:rFonts w:ascii="Arial" w:eastAsia="Calibri" w:hAnsi="Arial" w:cs="Arial"/>
          <w:sz w:val="15"/>
          <w:szCs w:val="15"/>
        </w:rPr>
        <w:t>akan</w:t>
      </w:r>
      <w:r w:rsidRPr="00262600">
        <w:rPr>
          <w:rFonts w:ascii="Arial" w:eastAsia="Calibri" w:hAnsi="Arial" w:cs="Arial"/>
          <w:sz w:val="15"/>
          <w:szCs w:val="15"/>
          <w:lang w:val="id-ID"/>
        </w:rPr>
        <w:t xml:space="preserve"> </w:t>
      </w:r>
      <w:r w:rsidRPr="00262600">
        <w:rPr>
          <w:rFonts w:ascii="Arial" w:eastAsia="Calibri" w:hAnsi="Arial" w:cs="Arial"/>
          <w:sz w:val="15"/>
          <w:szCs w:val="15"/>
        </w:rPr>
        <w:lastRenderedPageBreak/>
        <w:t>mempertahankan</w:t>
      </w:r>
      <w:r w:rsidRPr="00262600">
        <w:rPr>
          <w:rFonts w:ascii="Arial" w:eastAsia="Calibri" w:hAnsi="Arial" w:cs="Arial"/>
          <w:sz w:val="15"/>
          <w:szCs w:val="15"/>
          <w:lang w:val="id-ID"/>
        </w:rPr>
        <w:t xml:space="preserve"> </w:t>
      </w:r>
      <w:r w:rsidRPr="00262600">
        <w:rPr>
          <w:rFonts w:ascii="Arial" w:eastAsia="Calibri" w:hAnsi="Arial" w:cs="Arial"/>
          <w:sz w:val="15"/>
          <w:szCs w:val="15"/>
        </w:rPr>
        <w:t>kes</w:t>
      </w:r>
      <w:r w:rsidRPr="00262600">
        <w:rPr>
          <w:rFonts w:ascii="Arial" w:eastAsia="Calibri" w:hAnsi="Arial" w:cs="Arial"/>
          <w:sz w:val="15"/>
          <w:szCs w:val="15"/>
          <w:lang w:val="id-ID"/>
        </w:rPr>
        <w:t>e</w:t>
      </w:r>
      <w:r w:rsidRPr="00262600">
        <w:rPr>
          <w:rFonts w:ascii="Arial" w:eastAsia="Calibri" w:hAnsi="Arial" w:cs="Arial"/>
          <w:sz w:val="15"/>
          <w:szCs w:val="15"/>
        </w:rPr>
        <w:t>imbangan</w:t>
      </w:r>
      <w:r w:rsidRPr="00262600">
        <w:rPr>
          <w:rFonts w:ascii="Arial" w:eastAsia="Calibri" w:hAnsi="Arial" w:cs="Arial"/>
          <w:sz w:val="15"/>
          <w:szCs w:val="15"/>
          <w:lang w:val="id-ID"/>
        </w:rPr>
        <w:t xml:space="preserve"> </w:t>
      </w:r>
      <w:r w:rsidRPr="00262600">
        <w:rPr>
          <w:rFonts w:ascii="Arial" w:eastAsia="Calibri" w:hAnsi="Arial" w:cs="Arial"/>
          <w:sz w:val="15"/>
          <w:szCs w:val="15"/>
        </w:rPr>
        <w:t>tekanan</w:t>
      </w:r>
      <w:r w:rsidRPr="00262600">
        <w:rPr>
          <w:rFonts w:ascii="Arial" w:eastAsia="Calibri" w:hAnsi="Arial" w:cs="Arial"/>
          <w:sz w:val="15"/>
          <w:szCs w:val="15"/>
          <w:lang w:val="id-ID"/>
        </w:rPr>
        <w:t xml:space="preserve"> </w:t>
      </w:r>
      <w:r w:rsidRPr="00262600">
        <w:rPr>
          <w:rFonts w:ascii="Arial" w:eastAsia="Calibri" w:hAnsi="Arial" w:cs="Arial"/>
          <w:sz w:val="15"/>
          <w:szCs w:val="15"/>
        </w:rPr>
        <w:t>antara</w:t>
      </w:r>
      <w:r w:rsidRPr="00262600">
        <w:rPr>
          <w:rFonts w:ascii="Arial" w:eastAsia="Calibri" w:hAnsi="Arial" w:cs="Arial"/>
          <w:sz w:val="15"/>
          <w:szCs w:val="15"/>
          <w:lang w:val="id-ID"/>
        </w:rPr>
        <w:t xml:space="preserve"> </w:t>
      </w:r>
      <w:r w:rsidRPr="00262600">
        <w:rPr>
          <w:rFonts w:ascii="Arial" w:eastAsia="Calibri" w:hAnsi="Arial" w:cs="Arial"/>
          <w:sz w:val="15"/>
          <w:szCs w:val="15"/>
        </w:rPr>
        <w:t>nervus</w:t>
      </w:r>
      <w:r w:rsidRPr="00262600">
        <w:rPr>
          <w:rFonts w:ascii="Arial" w:eastAsia="Calibri" w:hAnsi="Arial" w:cs="Arial"/>
          <w:sz w:val="15"/>
          <w:szCs w:val="15"/>
          <w:lang w:val="id-ID"/>
        </w:rPr>
        <w:t xml:space="preserve"> </w:t>
      </w:r>
      <w:r w:rsidRPr="00262600">
        <w:rPr>
          <w:rFonts w:ascii="Arial" w:eastAsia="Calibri" w:hAnsi="Arial" w:cs="Arial"/>
          <w:sz w:val="15"/>
          <w:szCs w:val="15"/>
        </w:rPr>
        <w:t>adregenik</w:t>
      </w:r>
      <w:r w:rsidRPr="00262600">
        <w:rPr>
          <w:rFonts w:ascii="Arial" w:eastAsia="Calibri" w:hAnsi="Arial" w:cs="Arial"/>
          <w:sz w:val="15"/>
          <w:szCs w:val="15"/>
          <w:lang w:val="id-ID"/>
        </w:rPr>
        <w:t xml:space="preserve">, </w:t>
      </w:r>
      <w:r w:rsidRPr="00262600">
        <w:rPr>
          <w:rFonts w:ascii="Arial" w:eastAsia="Calibri" w:hAnsi="Arial" w:cs="Arial"/>
          <w:sz w:val="15"/>
          <w:szCs w:val="15"/>
        </w:rPr>
        <w:t>nervus</w:t>
      </w:r>
      <w:r w:rsidRPr="00262600">
        <w:rPr>
          <w:rFonts w:ascii="Arial" w:eastAsia="Calibri" w:hAnsi="Arial" w:cs="Arial"/>
          <w:sz w:val="15"/>
          <w:szCs w:val="15"/>
          <w:lang w:val="id-ID"/>
        </w:rPr>
        <w:t xml:space="preserve"> </w:t>
      </w:r>
      <w:r w:rsidRPr="00262600">
        <w:rPr>
          <w:rFonts w:ascii="Arial" w:eastAsia="Calibri" w:hAnsi="Arial" w:cs="Arial"/>
          <w:sz w:val="15"/>
          <w:szCs w:val="15"/>
        </w:rPr>
        <w:t>parasimpatis</w:t>
      </w:r>
      <w:r w:rsidRPr="00262600">
        <w:rPr>
          <w:rFonts w:ascii="Arial" w:eastAsia="Calibri" w:hAnsi="Arial" w:cs="Arial"/>
          <w:sz w:val="15"/>
          <w:szCs w:val="15"/>
          <w:lang w:val="id-ID"/>
        </w:rPr>
        <w:t xml:space="preserve"> serta merangsang sinyal otak yang menyebabkan otot rileks dan meningkatkan aliran darah ke otak</w:t>
      </w:r>
      <w:r w:rsidRPr="00262600">
        <w:rPr>
          <w:rFonts w:ascii="Arial" w:eastAsia="Calibri" w:hAnsi="Arial" w:cs="Arial"/>
          <w:sz w:val="15"/>
          <w:szCs w:val="15"/>
        </w:rPr>
        <w:t>. Efek</w:t>
      </w:r>
      <w:r w:rsidRPr="00262600">
        <w:rPr>
          <w:rFonts w:ascii="Arial" w:eastAsia="Calibri" w:hAnsi="Arial" w:cs="Arial"/>
          <w:sz w:val="15"/>
          <w:szCs w:val="15"/>
          <w:lang w:val="id-ID"/>
        </w:rPr>
        <w:t xml:space="preserve"> </w:t>
      </w:r>
      <w:r w:rsidRPr="00262600">
        <w:rPr>
          <w:rFonts w:ascii="Arial" w:eastAsia="Calibri" w:hAnsi="Arial" w:cs="Arial"/>
          <w:sz w:val="15"/>
          <w:szCs w:val="15"/>
        </w:rPr>
        <w:t>dari</w:t>
      </w:r>
      <w:r w:rsidRPr="00262600">
        <w:rPr>
          <w:rFonts w:ascii="Arial" w:eastAsia="Calibri" w:hAnsi="Arial" w:cs="Arial"/>
          <w:sz w:val="15"/>
          <w:szCs w:val="15"/>
          <w:lang w:val="id-ID"/>
        </w:rPr>
        <w:t xml:space="preserve"> </w:t>
      </w:r>
      <w:r w:rsidRPr="00262600">
        <w:rPr>
          <w:rFonts w:ascii="Arial" w:eastAsia="Calibri" w:hAnsi="Arial" w:cs="Arial"/>
          <w:sz w:val="15"/>
          <w:szCs w:val="15"/>
        </w:rPr>
        <w:t>tindakan</w:t>
      </w:r>
      <w:r w:rsidRPr="00262600">
        <w:rPr>
          <w:rFonts w:ascii="Arial" w:eastAsia="Calibri" w:hAnsi="Arial" w:cs="Arial"/>
          <w:sz w:val="15"/>
          <w:szCs w:val="15"/>
          <w:lang w:val="id-ID"/>
        </w:rPr>
        <w:t xml:space="preserve"> </w:t>
      </w:r>
      <w:r w:rsidRPr="00262600">
        <w:rPr>
          <w:rFonts w:ascii="Arial" w:eastAsia="Calibri" w:hAnsi="Arial" w:cs="Arial"/>
          <w:sz w:val="15"/>
          <w:szCs w:val="15"/>
        </w:rPr>
        <w:t>tersebut</w:t>
      </w:r>
      <w:r w:rsidRPr="00262600">
        <w:rPr>
          <w:rFonts w:ascii="Arial" w:eastAsia="Calibri" w:hAnsi="Arial" w:cs="Arial"/>
          <w:sz w:val="15"/>
          <w:szCs w:val="15"/>
          <w:lang w:val="id-ID"/>
        </w:rPr>
        <w:t xml:space="preserve"> </w:t>
      </w:r>
      <w:r w:rsidRPr="00262600">
        <w:rPr>
          <w:rFonts w:ascii="Arial" w:eastAsia="Calibri" w:hAnsi="Arial" w:cs="Arial"/>
          <w:sz w:val="15"/>
          <w:szCs w:val="15"/>
        </w:rPr>
        <w:t>akan</w:t>
      </w:r>
      <w:r w:rsidRPr="00262600">
        <w:rPr>
          <w:rFonts w:ascii="Arial" w:eastAsia="Calibri" w:hAnsi="Arial" w:cs="Arial"/>
          <w:sz w:val="15"/>
          <w:szCs w:val="15"/>
          <w:lang w:val="id-ID"/>
        </w:rPr>
        <w:t xml:space="preserve"> </w:t>
      </w:r>
      <w:r w:rsidRPr="00262600">
        <w:rPr>
          <w:rFonts w:ascii="Arial" w:eastAsia="Calibri" w:hAnsi="Arial" w:cs="Arial"/>
          <w:sz w:val="15"/>
          <w:szCs w:val="15"/>
        </w:rPr>
        <w:t>mengalihkan</w:t>
      </w:r>
      <w:r w:rsidRPr="00262600">
        <w:rPr>
          <w:rFonts w:ascii="Arial" w:eastAsia="Calibri" w:hAnsi="Arial" w:cs="Arial"/>
          <w:sz w:val="15"/>
          <w:szCs w:val="15"/>
          <w:lang w:val="id-ID"/>
        </w:rPr>
        <w:t xml:space="preserve"> </w:t>
      </w:r>
      <w:r w:rsidRPr="00262600">
        <w:rPr>
          <w:rFonts w:ascii="Arial" w:eastAsia="Calibri" w:hAnsi="Arial" w:cs="Arial"/>
          <w:sz w:val="15"/>
          <w:szCs w:val="15"/>
        </w:rPr>
        <w:t>fo</w:t>
      </w:r>
      <w:r w:rsidRPr="00262600">
        <w:rPr>
          <w:rFonts w:ascii="Arial" w:eastAsia="Calibri" w:hAnsi="Arial" w:cs="Arial"/>
          <w:sz w:val="15"/>
          <w:szCs w:val="15"/>
          <w:lang w:val="id-ID"/>
        </w:rPr>
        <w:t>k</w:t>
      </w:r>
      <w:r w:rsidRPr="00262600">
        <w:rPr>
          <w:rFonts w:ascii="Arial" w:eastAsia="Calibri" w:hAnsi="Arial" w:cs="Arial"/>
          <w:sz w:val="15"/>
          <w:szCs w:val="15"/>
        </w:rPr>
        <w:t>us</w:t>
      </w:r>
      <w:r w:rsidRPr="00262600">
        <w:rPr>
          <w:rFonts w:ascii="Arial" w:eastAsia="Calibri" w:hAnsi="Arial" w:cs="Arial"/>
          <w:sz w:val="15"/>
          <w:szCs w:val="15"/>
          <w:lang w:val="id-ID"/>
        </w:rPr>
        <w:t xml:space="preserve"> </w:t>
      </w:r>
      <w:r w:rsidRPr="00262600">
        <w:rPr>
          <w:rFonts w:ascii="Arial" w:eastAsia="Calibri" w:hAnsi="Arial" w:cs="Arial"/>
          <w:sz w:val="15"/>
          <w:szCs w:val="15"/>
        </w:rPr>
        <w:t>pasien</w:t>
      </w:r>
      <w:r w:rsidRPr="00262600">
        <w:rPr>
          <w:rFonts w:ascii="Arial" w:eastAsia="Calibri" w:hAnsi="Arial" w:cs="Arial"/>
          <w:sz w:val="15"/>
          <w:szCs w:val="15"/>
          <w:lang w:val="id-ID"/>
        </w:rPr>
        <w:t xml:space="preserve"> </w:t>
      </w:r>
      <w:r w:rsidRPr="00262600">
        <w:rPr>
          <w:rFonts w:ascii="Arial" w:eastAsia="Calibri" w:hAnsi="Arial" w:cs="Arial"/>
          <w:sz w:val="15"/>
          <w:szCs w:val="15"/>
        </w:rPr>
        <w:t>terhadap</w:t>
      </w:r>
      <w:r w:rsidRPr="00262600">
        <w:rPr>
          <w:rFonts w:ascii="Arial" w:eastAsia="Calibri" w:hAnsi="Arial" w:cs="Arial"/>
          <w:sz w:val="15"/>
          <w:szCs w:val="15"/>
          <w:lang w:val="id-ID"/>
        </w:rPr>
        <w:t xml:space="preserve"> nyeri </w:t>
      </w:r>
      <w:r w:rsidR="001F609F" w:rsidRPr="00262600">
        <w:rPr>
          <w:rFonts w:ascii="Arial" w:eastAsia="Calibri" w:hAnsi="Arial" w:cs="Arial"/>
          <w:sz w:val="15"/>
          <w:szCs w:val="15"/>
          <w:vertAlign w:val="superscript"/>
        </w:rPr>
        <w:t>16</w:t>
      </w:r>
      <w:r w:rsidR="001F609F" w:rsidRPr="00262600">
        <w:rPr>
          <w:rFonts w:ascii="Arial" w:eastAsia="Calibri" w:hAnsi="Arial" w:cs="Arial"/>
          <w:sz w:val="15"/>
          <w:szCs w:val="15"/>
        </w:rPr>
        <w:t>.</w:t>
      </w:r>
    </w:p>
    <w:p w14:paraId="72B67C28" w14:textId="450CA859"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sz w:val="15"/>
          <w:szCs w:val="15"/>
        </w:rPr>
        <w:t>Mengacu pada hasil beberapa penelitian sebelumnya menunjukkan bahwa peran terapi non-farmakologi sangat penting</w:t>
      </w:r>
      <w:r w:rsidRPr="00262600">
        <w:rPr>
          <w:rFonts w:ascii="Arial" w:eastAsia="Calibri" w:hAnsi="Arial" w:cs="Arial"/>
          <w:sz w:val="15"/>
          <w:szCs w:val="15"/>
          <w:lang w:val="id-ID"/>
        </w:rPr>
        <w:t xml:space="preserve"> diterapkan</w:t>
      </w:r>
      <w:r w:rsidRPr="00262600">
        <w:rPr>
          <w:rFonts w:ascii="Arial" w:eastAsia="Calibri" w:hAnsi="Arial" w:cs="Arial"/>
          <w:sz w:val="15"/>
          <w:szCs w:val="15"/>
        </w:rPr>
        <w:t xml:space="preserve">. Terapi relaksasi PMR merupakan suatu terapi pelengkap dalam keperawatan sehingga keberadaan perawat profesional memiliki posisi kunci yang dapat memberikan kegiatan perawatan utama, peningkatan kesehatan dan pencegahan penyakit yang hemat biaya, sumber yang efisien dan kompeten </w:t>
      </w:r>
      <w:r w:rsidR="001F609F" w:rsidRPr="00262600">
        <w:rPr>
          <w:rFonts w:ascii="Arial" w:eastAsia="Calibri" w:hAnsi="Arial" w:cs="Arial"/>
          <w:sz w:val="15"/>
          <w:szCs w:val="15"/>
          <w:vertAlign w:val="superscript"/>
        </w:rPr>
        <w:t>17</w:t>
      </w:r>
      <w:r w:rsidRPr="00262600">
        <w:rPr>
          <w:rFonts w:ascii="Arial" w:eastAsia="Calibri" w:hAnsi="Arial" w:cs="Arial"/>
          <w:sz w:val="15"/>
          <w:szCs w:val="15"/>
        </w:rPr>
        <w:t>.</w:t>
      </w:r>
    </w:p>
    <w:p w14:paraId="5DC5FD65" w14:textId="77777777"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sz w:val="15"/>
          <w:szCs w:val="15"/>
          <w:lang w:val="id-ID"/>
        </w:rPr>
        <w:t xml:space="preserve">Hasil penelusuran literatur peneliti, penelitian terkait menggunakan PMR terhadap nyeri pada pasien CKD yang menjalani hemodialisa belum ditemukan. Sehingga peneliti tertarik melakukan penelitian tentang </w:t>
      </w:r>
      <w:r w:rsidRPr="00262600">
        <w:rPr>
          <w:rFonts w:ascii="Arial" w:eastAsia="Calibri" w:hAnsi="Arial" w:cs="Arial"/>
          <w:sz w:val="15"/>
          <w:szCs w:val="15"/>
        </w:rPr>
        <w:t xml:space="preserve">pengaruh </w:t>
      </w:r>
      <w:r w:rsidRPr="00262600">
        <w:rPr>
          <w:rFonts w:ascii="Arial" w:eastAsia="Calibri" w:hAnsi="Arial" w:cs="Arial"/>
          <w:iCs/>
          <w:sz w:val="15"/>
          <w:szCs w:val="15"/>
        </w:rPr>
        <w:t>terapi PMR</w:t>
      </w:r>
      <w:r w:rsidRPr="00262600">
        <w:rPr>
          <w:rFonts w:ascii="Arial" w:eastAsia="Calibri" w:hAnsi="Arial" w:cs="Arial"/>
          <w:sz w:val="15"/>
          <w:szCs w:val="15"/>
        </w:rPr>
        <w:t xml:space="preserve"> terhadap </w:t>
      </w:r>
      <w:r w:rsidRPr="00262600">
        <w:rPr>
          <w:rFonts w:ascii="Arial" w:eastAsia="Calibri" w:hAnsi="Arial" w:cs="Arial"/>
          <w:sz w:val="15"/>
          <w:szCs w:val="15"/>
          <w:lang w:val="id-ID"/>
        </w:rPr>
        <w:t>nyeri pada</w:t>
      </w:r>
      <w:r w:rsidRPr="00262600">
        <w:rPr>
          <w:rFonts w:ascii="Arial" w:eastAsia="Calibri" w:hAnsi="Arial" w:cs="Arial"/>
          <w:sz w:val="15"/>
          <w:szCs w:val="15"/>
        </w:rPr>
        <w:t xml:space="preserve"> klien hemodialisa di RS di Yogyakarta.</w:t>
      </w:r>
    </w:p>
    <w:p w14:paraId="0F96F711" w14:textId="77777777" w:rsidR="00642A2A" w:rsidRPr="00262600" w:rsidRDefault="00642A2A" w:rsidP="00642A2A">
      <w:pPr>
        <w:rPr>
          <w:rFonts w:ascii="Arial" w:eastAsia="Calibri" w:hAnsi="Arial" w:cs="Arial"/>
          <w:sz w:val="15"/>
          <w:szCs w:val="15"/>
        </w:rPr>
      </w:pPr>
    </w:p>
    <w:p w14:paraId="2D9105D1" w14:textId="77777777" w:rsidR="00642A2A" w:rsidRPr="009873EC" w:rsidRDefault="00642A2A" w:rsidP="00642A2A">
      <w:pPr>
        <w:rPr>
          <w:rFonts w:ascii="Arial" w:hAnsi="Arial" w:cs="Arial"/>
          <w:b/>
          <w:bCs/>
          <w:sz w:val="21"/>
          <w:szCs w:val="21"/>
          <w:lang w:val="id-ID"/>
        </w:rPr>
      </w:pPr>
      <w:r w:rsidRPr="009873EC">
        <w:rPr>
          <w:rFonts w:ascii="Arial" w:hAnsi="Arial" w:cs="Arial"/>
          <w:b/>
          <w:bCs/>
          <w:sz w:val="21"/>
          <w:szCs w:val="21"/>
          <w:lang w:val="id-ID"/>
        </w:rPr>
        <w:t>METHOD</w:t>
      </w:r>
    </w:p>
    <w:p w14:paraId="2F98F712" w14:textId="77777777" w:rsidR="00642A2A" w:rsidRPr="00262600" w:rsidRDefault="00642A2A" w:rsidP="00642A2A">
      <w:pPr>
        <w:ind w:firstLine="720"/>
        <w:jc w:val="both"/>
        <w:rPr>
          <w:rFonts w:ascii="Arial" w:eastAsia="Calibri" w:hAnsi="Arial" w:cs="Arial"/>
          <w:sz w:val="15"/>
          <w:szCs w:val="15"/>
          <w:lang w:val="id-ID"/>
        </w:rPr>
      </w:pPr>
      <w:r w:rsidRPr="00262600">
        <w:rPr>
          <w:rFonts w:ascii="Arial" w:eastAsia="Calibri" w:hAnsi="Arial" w:cs="Arial"/>
          <w:sz w:val="15"/>
          <w:szCs w:val="15"/>
        </w:rPr>
        <w:t>Penelitian ini merupakan penelitian kuantitatif dengan jenis eksperimen semu (</w:t>
      </w:r>
      <w:r w:rsidRPr="00262600">
        <w:rPr>
          <w:rFonts w:ascii="Arial" w:eastAsia="Calibri" w:hAnsi="Arial" w:cs="Arial"/>
          <w:i/>
          <w:sz w:val="15"/>
          <w:szCs w:val="15"/>
        </w:rPr>
        <w:t>Quasy-Experimental Time Series Design</w:t>
      </w:r>
      <w:r w:rsidRPr="00262600">
        <w:rPr>
          <w:rFonts w:ascii="Arial" w:eastAsia="Calibri" w:hAnsi="Arial" w:cs="Arial"/>
          <w:sz w:val="15"/>
          <w:szCs w:val="15"/>
        </w:rPr>
        <w:t xml:space="preserve">), dengan rancangan </w:t>
      </w:r>
      <w:r w:rsidRPr="00262600">
        <w:rPr>
          <w:rFonts w:ascii="Arial" w:eastAsia="Calibri" w:hAnsi="Arial" w:cs="Arial"/>
          <w:i/>
          <w:sz w:val="15"/>
          <w:szCs w:val="15"/>
        </w:rPr>
        <w:t>pre-test and post-test with control group design.</w:t>
      </w:r>
      <w:r w:rsidRPr="00262600">
        <w:rPr>
          <w:rFonts w:ascii="Arial" w:eastAsia="Calibri" w:hAnsi="Arial" w:cs="Arial"/>
          <w:sz w:val="15"/>
          <w:szCs w:val="15"/>
        </w:rPr>
        <w:t xml:space="preserve"> Pretes dilakukan pada kedua kelompok, dan dievaluasi pada minggu kedua dan postes minggu keempat.</w:t>
      </w:r>
      <w:r w:rsidRPr="00262600">
        <w:rPr>
          <w:rFonts w:ascii="Arial" w:eastAsia="Calibri" w:hAnsi="Arial" w:cs="Arial"/>
          <w:sz w:val="15"/>
          <w:szCs w:val="15"/>
          <w:lang w:val="id-ID"/>
        </w:rPr>
        <w:t xml:space="preserve"> </w:t>
      </w:r>
    </w:p>
    <w:p w14:paraId="1A4B46B5" w14:textId="77777777" w:rsidR="00642A2A" w:rsidRPr="00262600" w:rsidRDefault="00642A2A" w:rsidP="00642A2A">
      <w:pPr>
        <w:ind w:firstLine="720"/>
        <w:jc w:val="both"/>
        <w:rPr>
          <w:rFonts w:ascii="Arial" w:eastAsia="Calibri" w:hAnsi="Arial" w:cs="Arial"/>
          <w:sz w:val="15"/>
          <w:szCs w:val="15"/>
        </w:rPr>
      </w:pPr>
      <w:r w:rsidRPr="00262600">
        <w:rPr>
          <w:rFonts w:ascii="Arial" w:eastAsia="Calibri" w:hAnsi="Arial" w:cs="Arial"/>
          <w:sz w:val="15"/>
          <w:szCs w:val="15"/>
        </w:rPr>
        <w:t>Populasi dalam penelitian ini di klinik hemodialisa RS PKU Muhammadiyah Gamping da</w:t>
      </w:r>
      <w:r w:rsidRPr="00262600">
        <w:rPr>
          <w:rFonts w:ascii="Arial" w:eastAsia="Calibri" w:hAnsi="Arial" w:cs="Arial"/>
          <w:sz w:val="15"/>
          <w:szCs w:val="15"/>
          <w:lang w:val="id-ID"/>
        </w:rPr>
        <w:t xml:space="preserve">n </w:t>
      </w:r>
      <w:r w:rsidRPr="00262600">
        <w:rPr>
          <w:rFonts w:ascii="Arial" w:eastAsia="Calibri" w:hAnsi="Arial" w:cs="Arial"/>
          <w:sz w:val="15"/>
          <w:szCs w:val="15"/>
        </w:rPr>
        <w:t xml:space="preserve">RSUD Sleman. Teknik sampel dalam penelitian ini menggunakan </w:t>
      </w:r>
      <w:r w:rsidRPr="00262600">
        <w:rPr>
          <w:rFonts w:ascii="Arial" w:eastAsia="Calibri" w:hAnsi="Arial" w:cs="Arial"/>
          <w:i/>
          <w:sz w:val="15"/>
          <w:szCs w:val="15"/>
        </w:rPr>
        <w:t>simple random</w:t>
      </w:r>
      <w:r w:rsidRPr="00262600">
        <w:rPr>
          <w:rFonts w:ascii="Arial" w:eastAsia="Calibri" w:hAnsi="Arial" w:cs="Arial"/>
          <w:sz w:val="15"/>
          <w:szCs w:val="15"/>
        </w:rPr>
        <w:t xml:space="preserve"> </w:t>
      </w:r>
      <w:r w:rsidRPr="00262600">
        <w:rPr>
          <w:rFonts w:ascii="Arial" w:eastAsia="Calibri" w:hAnsi="Arial" w:cs="Arial"/>
          <w:i/>
          <w:sz w:val="15"/>
          <w:szCs w:val="15"/>
        </w:rPr>
        <w:t>sampling</w:t>
      </w:r>
      <w:r w:rsidRPr="00262600">
        <w:rPr>
          <w:rFonts w:ascii="Arial" w:eastAsia="Calibri" w:hAnsi="Arial" w:cs="Arial"/>
          <w:sz w:val="15"/>
          <w:szCs w:val="15"/>
        </w:rPr>
        <w:t xml:space="preserve"> berjumlah 100 responden untuk kelompok intervensi dan kelompok kontrol.</w:t>
      </w:r>
      <w:r w:rsidRPr="00262600">
        <w:rPr>
          <w:rFonts w:ascii="Arial" w:eastAsia="Calibri" w:hAnsi="Arial" w:cs="Arial"/>
          <w:sz w:val="15"/>
          <w:szCs w:val="15"/>
          <w:lang w:val="id-ID"/>
        </w:rPr>
        <w:t xml:space="preserve"> </w:t>
      </w:r>
      <w:r w:rsidRPr="00262600">
        <w:rPr>
          <w:rFonts w:ascii="Arial" w:eastAsia="Calibri" w:hAnsi="Arial" w:cs="Arial"/>
          <w:sz w:val="15"/>
          <w:szCs w:val="15"/>
        </w:rPr>
        <w:t xml:space="preserve">Kriteria insklusi dalam penelitian ini; (a) lebih dari 3 bulan terdiagnosa CKD, (b) rutin hemodialisa 2 kali dalam seminggu, (c) responden mengalami </w:t>
      </w:r>
      <w:r w:rsidRPr="00262600">
        <w:rPr>
          <w:rFonts w:ascii="Arial" w:eastAsia="Calibri" w:hAnsi="Arial" w:cs="Arial"/>
          <w:sz w:val="15"/>
          <w:szCs w:val="15"/>
          <w:lang w:val="id-ID"/>
        </w:rPr>
        <w:t xml:space="preserve">nyeri </w:t>
      </w:r>
      <w:r w:rsidRPr="00262600">
        <w:rPr>
          <w:rFonts w:ascii="Arial" w:eastAsia="Calibri" w:hAnsi="Arial" w:cs="Arial"/>
          <w:sz w:val="15"/>
          <w:szCs w:val="15"/>
        </w:rPr>
        <w:t>lebih 1 bulan.</w:t>
      </w:r>
      <w:r w:rsidRPr="00262600">
        <w:rPr>
          <w:rFonts w:ascii="Arial" w:eastAsia="Calibri" w:hAnsi="Arial" w:cs="Arial"/>
          <w:sz w:val="15"/>
          <w:szCs w:val="15"/>
          <w:lang w:val="id-ID"/>
        </w:rPr>
        <w:t xml:space="preserve"> </w:t>
      </w:r>
      <w:r w:rsidRPr="00262600">
        <w:rPr>
          <w:rFonts w:ascii="Arial" w:eastAsia="Calibri" w:hAnsi="Arial" w:cs="Arial"/>
          <w:sz w:val="15"/>
          <w:szCs w:val="15"/>
        </w:rPr>
        <w:t xml:space="preserve">Instrumen yang digunakan dalam penelitian ini menggunakan </w:t>
      </w:r>
      <w:r w:rsidRPr="00262600">
        <w:rPr>
          <w:rFonts w:ascii="Arial" w:eastAsia="Calibri" w:hAnsi="Arial" w:cs="Arial"/>
          <w:sz w:val="15"/>
          <w:szCs w:val="15"/>
          <w:lang w:val="id-ID"/>
        </w:rPr>
        <w:t>BPI</w:t>
      </w:r>
      <w:r w:rsidRPr="00262600">
        <w:rPr>
          <w:rFonts w:ascii="Arial" w:eastAsia="Calibri" w:hAnsi="Arial" w:cs="Arial"/>
          <w:sz w:val="15"/>
          <w:szCs w:val="15"/>
        </w:rPr>
        <w:t xml:space="preserve"> </w:t>
      </w:r>
      <w:r w:rsidRPr="00262600">
        <w:rPr>
          <w:rFonts w:ascii="Arial" w:eastAsia="Calibri" w:hAnsi="Arial" w:cs="Arial"/>
          <w:i/>
          <w:sz w:val="15"/>
          <w:szCs w:val="15"/>
        </w:rPr>
        <w:t>(</w:t>
      </w:r>
      <w:r w:rsidRPr="00262600">
        <w:rPr>
          <w:rFonts w:ascii="Arial" w:eastAsia="Calibri" w:hAnsi="Arial" w:cs="Arial"/>
          <w:i/>
          <w:sz w:val="15"/>
          <w:szCs w:val="15"/>
          <w:lang w:val="id-ID"/>
        </w:rPr>
        <w:t>Brief Pain Inventory</w:t>
      </w:r>
      <w:r w:rsidRPr="00262600">
        <w:rPr>
          <w:rFonts w:ascii="Arial" w:eastAsia="Calibri" w:hAnsi="Arial" w:cs="Arial"/>
          <w:i/>
          <w:sz w:val="15"/>
          <w:szCs w:val="15"/>
        </w:rPr>
        <w:t xml:space="preserve">) </w:t>
      </w:r>
      <w:r w:rsidRPr="00262600">
        <w:rPr>
          <w:rFonts w:ascii="Arial" w:eastAsia="Calibri" w:hAnsi="Arial" w:cs="Arial"/>
          <w:sz w:val="15"/>
          <w:szCs w:val="15"/>
        </w:rPr>
        <w:t>dan buku panduan PM</w:t>
      </w:r>
      <w:r w:rsidRPr="00262600">
        <w:rPr>
          <w:rFonts w:ascii="Arial" w:eastAsia="Calibri" w:hAnsi="Arial" w:cs="Arial"/>
          <w:sz w:val="15"/>
          <w:szCs w:val="15"/>
          <w:lang w:val="id-ID"/>
        </w:rPr>
        <w:t xml:space="preserve">R. Pasien diberikan penjelasan terlebih dahulu kemudian </w:t>
      </w:r>
      <w:r w:rsidRPr="00262600">
        <w:rPr>
          <w:rFonts w:ascii="Arial" w:eastAsia="Calibri" w:hAnsi="Arial" w:cs="Arial"/>
          <w:sz w:val="15"/>
          <w:szCs w:val="15"/>
        </w:rPr>
        <w:t>dilakukan secara mandiri dirumah masing-masing.</w:t>
      </w:r>
      <w:r w:rsidRPr="00262600">
        <w:rPr>
          <w:rFonts w:ascii="Arial" w:eastAsia="Calibri" w:hAnsi="Arial" w:cs="Arial"/>
          <w:sz w:val="15"/>
          <w:szCs w:val="15"/>
          <w:lang w:val="id-ID"/>
        </w:rPr>
        <w:t xml:space="preserve"> </w:t>
      </w:r>
      <w:r w:rsidRPr="00262600">
        <w:rPr>
          <w:rFonts w:ascii="Arial" w:eastAsia="Calibri" w:hAnsi="Arial" w:cs="Arial"/>
          <w:sz w:val="15"/>
          <w:szCs w:val="15"/>
        </w:rPr>
        <w:t xml:space="preserve">Peneliti mengingatkan melalui SMS/Telepon, </w:t>
      </w:r>
      <w:r w:rsidRPr="00262600">
        <w:rPr>
          <w:rFonts w:ascii="Arial" w:eastAsia="Calibri" w:hAnsi="Arial" w:cs="Arial"/>
          <w:sz w:val="15"/>
          <w:szCs w:val="15"/>
          <w:lang w:val="id-ID"/>
        </w:rPr>
        <w:t xml:space="preserve">dan </w:t>
      </w:r>
      <w:r w:rsidRPr="00262600">
        <w:rPr>
          <w:rFonts w:ascii="Arial" w:eastAsia="Calibri" w:hAnsi="Arial" w:cs="Arial"/>
          <w:i/>
          <w:sz w:val="15"/>
          <w:szCs w:val="15"/>
        </w:rPr>
        <w:t>WhatsApp</w:t>
      </w:r>
      <w:r w:rsidRPr="00262600">
        <w:rPr>
          <w:rFonts w:ascii="Arial" w:eastAsia="Calibri" w:hAnsi="Arial" w:cs="Arial"/>
          <w:sz w:val="15"/>
          <w:szCs w:val="15"/>
        </w:rPr>
        <w:t>. Pengontrolan dilakukan saat</w:t>
      </w:r>
      <w:r w:rsidRPr="00262600">
        <w:rPr>
          <w:rFonts w:ascii="Arial" w:eastAsia="Calibri" w:hAnsi="Arial" w:cs="Arial"/>
          <w:sz w:val="15"/>
          <w:szCs w:val="15"/>
          <w:lang w:val="id-ID"/>
        </w:rPr>
        <w:t xml:space="preserve"> pasien</w:t>
      </w:r>
      <w:r w:rsidRPr="00262600">
        <w:rPr>
          <w:rFonts w:ascii="Arial" w:eastAsia="Calibri" w:hAnsi="Arial" w:cs="Arial"/>
          <w:sz w:val="15"/>
          <w:szCs w:val="15"/>
        </w:rPr>
        <w:t xml:space="preserve"> </w:t>
      </w:r>
      <w:r w:rsidRPr="00262600">
        <w:rPr>
          <w:rFonts w:ascii="Arial" w:eastAsia="Calibri" w:hAnsi="Arial" w:cs="Arial"/>
          <w:sz w:val="15"/>
          <w:szCs w:val="15"/>
          <w:lang w:val="id-ID"/>
        </w:rPr>
        <w:t>menjalani terapi hemodialisa</w:t>
      </w:r>
      <w:r w:rsidRPr="00262600">
        <w:rPr>
          <w:rFonts w:ascii="Arial" w:eastAsia="Calibri" w:hAnsi="Arial" w:cs="Arial"/>
          <w:sz w:val="15"/>
          <w:szCs w:val="15"/>
        </w:rPr>
        <w:t>.</w:t>
      </w:r>
    </w:p>
    <w:p w14:paraId="54E44713" w14:textId="77777777" w:rsidR="00642A2A" w:rsidRPr="00262600" w:rsidRDefault="00642A2A" w:rsidP="00642A2A">
      <w:pPr>
        <w:ind w:firstLine="720"/>
        <w:jc w:val="both"/>
        <w:rPr>
          <w:rFonts w:ascii="Arial" w:eastAsia="Calibri" w:hAnsi="Arial" w:cs="Arial"/>
          <w:i/>
          <w:sz w:val="15"/>
          <w:szCs w:val="15"/>
        </w:rPr>
      </w:pPr>
      <w:r w:rsidRPr="00262600">
        <w:rPr>
          <w:rFonts w:ascii="Arial" w:eastAsia="Calibri" w:hAnsi="Arial" w:cs="Arial"/>
          <w:sz w:val="15"/>
          <w:szCs w:val="15"/>
        </w:rPr>
        <w:t>Analisis data dalam penelitian ini menggunakan analisis univariat untu</w:t>
      </w:r>
      <w:r w:rsidRPr="00262600">
        <w:rPr>
          <w:rFonts w:ascii="Arial" w:eastAsia="Calibri" w:hAnsi="Arial" w:cs="Arial"/>
          <w:sz w:val="15"/>
          <w:szCs w:val="15"/>
          <w:lang w:val="id-ID"/>
        </w:rPr>
        <w:t xml:space="preserve">k </w:t>
      </w:r>
      <w:r w:rsidRPr="00262600">
        <w:rPr>
          <w:rFonts w:ascii="Arial" w:eastAsia="Calibri" w:hAnsi="Arial" w:cs="Arial"/>
          <w:sz w:val="15"/>
          <w:szCs w:val="15"/>
        </w:rPr>
        <w:t>mengetahui distribusi frekuensi karakteristik responden yang meliputi nama, usia, jenis kelamin, pendidikan, penyebab CKD, lama menderita CKD, lama hemodialisa dan analisis bivariat dilakukan untuk melihat pengaruh variabel bebas terhadap variabel terikat dengan menggunakan SPSS versi 19</w:t>
      </w:r>
      <w:r w:rsidRPr="00262600">
        <w:rPr>
          <w:rFonts w:ascii="Arial" w:eastAsia="Calibri" w:hAnsi="Arial" w:cs="Arial"/>
          <w:sz w:val="15"/>
          <w:szCs w:val="15"/>
          <w:lang w:val="id-ID"/>
        </w:rPr>
        <w:t xml:space="preserve"> dengan u</w:t>
      </w:r>
      <w:r w:rsidRPr="00262600">
        <w:rPr>
          <w:rFonts w:ascii="Arial" w:eastAsia="Calibri" w:hAnsi="Arial" w:cs="Arial"/>
          <w:sz w:val="15"/>
          <w:szCs w:val="15"/>
        </w:rPr>
        <w:t xml:space="preserve">ji statistik menggunakan uji </w:t>
      </w:r>
      <w:r w:rsidRPr="00262600">
        <w:rPr>
          <w:rFonts w:ascii="Arial" w:eastAsia="Calibri" w:hAnsi="Arial" w:cs="Arial"/>
          <w:i/>
          <w:sz w:val="15"/>
          <w:szCs w:val="15"/>
        </w:rPr>
        <w:t>Chi Square.</w:t>
      </w:r>
    </w:p>
    <w:p w14:paraId="54877C04" w14:textId="77777777" w:rsidR="00642A2A" w:rsidRPr="00262600" w:rsidRDefault="00642A2A" w:rsidP="00642A2A">
      <w:pPr>
        <w:jc w:val="both"/>
        <w:rPr>
          <w:rFonts w:ascii="Arial" w:eastAsia="Calibri" w:hAnsi="Arial" w:cs="Arial"/>
          <w:sz w:val="15"/>
          <w:szCs w:val="15"/>
        </w:rPr>
      </w:pPr>
    </w:p>
    <w:p w14:paraId="6CAD96AB" w14:textId="77777777" w:rsidR="00642A2A" w:rsidRPr="009873EC" w:rsidRDefault="00642A2A" w:rsidP="00642A2A">
      <w:pPr>
        <w:jc w:val="both"/>
        <w:rPr>
          <w:rFonts w:ascii="Arial" w:hAnsi="Arial" w:cs="Arial"/>
          <w:b/>
          <w:bCs/>
          <w:sz w:val="21"/>
          <w:szCs w:val="21"/>
          <w:lang w:val="id-ID"/>
        </w:rPr>
      </w:pPr>
      <w:r w:rsidRPr="009873EC">
        <w:rPr>
          <w:rFonts w:ascii="Arial" w:hAnsi="Arial" w:cs="Arial"/>
          <w:b/>
          <w:bCs/>
          <w:sz w:val="21"/>
          <w:szCs w:val="21"/>
        </w:rPr>
        <w:t xml:space="preserve">RESULTS </w:t>
      </w:r>
    </w:p>
    <w:p w14:paraId="5A7A0991" w14:textId="77777777" w:rsidR="00642A2A" w:rsidRPr="00262600" w:rsidRDefault="00642A2A" w:rsidP="00642A2A">
      <w:pPr>
        <w:jc w:val="both"/>
        <w:rPr>
          <w:rFonts w:ascii="Arial" w:eastAsia="Calibri" w:hAnsi="Arial" w:cs="Arial"/>
          <w:sz w:val="15"/>
          <w:szCs w:val="15"/>
        </w:rPr>
      </w:pPr>
      <w:r w:rsidRPr="00262600">
        <w:rPr>
          <w:rFonts w:ascii="Arial" w:eastAsia="Calibri" w:hAnsi="Arial" w:cs="Arial"/>
          <w:sz w:val="15"/>
          <w:szCs w:val="15"/>
        </w:rPr>
        <w:t>Karakteristik Responden</w:t>
      </w:r>
    </w:p>
    <w:p w14:paraId="16CDEBCD" w14:textId="77777777" w:rsidR="00642A2A" w:rsidRPr="00262600" w:rsidRDefault="00642A2A" w:rsidP="00642A2A">
      <w:pPr>
        <w:jc w:val="both"/>
        <w:rPr>
          <w:rFonts w:ascii="Arial" w:eastAsia="Calibri" w:hAnsi="Arial" w:cs="Arial"/>
          <w:sz w:val="15"/>
          <w:szCs w:val="15"/>
        </w:rPr>
      </w:pPr>
      <w:r w:rsidRPr="00262600">
        <w:rPr>
          <w:rFonts w:ascii="Arial" w:eastAsia="Calibri" w:hAnsi="Arial" w:cs="Arial"/>
          <w:sz w:val="15"/>
          <w:szCs w:val="15"/>
        </w:rPr>
        <w:t>Responden pada penelitian ini adalah pasien yang menjalani terapi hemodialisa di RSUD Sleman dan RS PKU Muhammadiyah Gamping. Rsponden penelitian ini berjumlah 100 responden. Data gambaran karakteristik responden disajikan dalam bentuk table sebagai berikut:</w:t>
      </w:r>
    </w:p>
    <w:p w14:paraId="74DBCF11" w14:textId="77777777" w:rsidR="00642A2A" w:rsidRPr="00262600" w:rsidRDefault="00642A2A" w:rsidP="00642A2A">
      <w:pPr>
        <w:jc w:val="both"/>
        <w:rPr>
          <w:rFonts w:ascii="Arial" w:eastAsia="Calibri" w:hAnsi="Arial" w:cs="Arial"/>
          <w:sz w:val="15"/>
          <w:szCs w:val="15"/>
        </w:rPr>
      </w:pPr>
    </w:p>
    <w:p w14:paraId="2FA3B6D6" w14:textId="77777777" w:rsidR="00642A2A" w:rsidRPr="00262600" w:rsidRDefault="00642A2A" w:rsidP="00642A2A">
      <w:pPr>
        <w:rPr>
          <w:rFonts w:ascii="Arial" w:eastAsia="Calibri" w:hAnsi="Arial" w:cs="Arial"/>
          <w:sz w:val="15"/>
          <w:szCs w:val="15"/>
        </w:rPr>
      </w:pPr>
      <w:r w:rsidRPr="00262600">
        <w:rPr>
          <w:rFonts w:ascii="Arial" w:eastAsia="Calibri" w:hAnsi="Arial" w:cs="Arial"/>
          <w:sz w:val="15"/>
          <w:szCs w:val="15"/>
        </w:rPr>
        <w:t xml:space="preserve">Table 1. Gambaran Karakteristik Responden </w:t>
      </w:r>
      <w:r w:rsidRPr="00262600">
        <w:rPr>
          <w:rFonts w:ascii="Arial" w:eastAsia="Calibri" w:hAnsi="Arial" w:cs="Arial"/>
          <w:sz w:val="15"/>
          <w:szCs w:val="15"/>
          <w:lang w:val="id-ID"/>
        </w:rPr>
        <w:t>yang Menjalani Terapi Hemodialisa</w:t>
      </w:r>
      <w:r w:rsidRPr="00262600">
        <w:rPr>
          <w:rFonts w:ascii="Arial" w:eastAsia="Calibri" w:hAnsi="Arial" w:cs="Arial"/>
          <w:b/>
          <w:sz w:val="15"/>
          <w:szCs w:val="15"/>
          <w:lang w:val="id-ID"/>
        </w:rPr>
        <w:t xml:space="preserve"> </w:t>
      </w:r>
      <w:r w:rsidRPr="00262600">
        <w:rPr>
          <w:rFonts w:ascii="Arial" w:eastAsia="Calibri" w:hAnsi="Arial" w:cs="Arial"/>
          <w:sz w:val="15"/>
          <w:szCs w:val="15"/>
        </w:rPr>
        <w:t>(n=100)</w:t>
      </w:r>
    </w:p>
    <w:tbl>
      <w:tblPr>
        <w:tblStyle w:val="TableGrid"/>
        <w:tblW w:w="854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48"/>
        <w:gridCol w:w="826"/>
        <w:gridCol w:w="1097"/>
        <w:gridCol w:w="824"/>
        <w:gridCol w:w="1099"/>
        <w:gridCol w:w="961"/>
        <w:gridCol w:w="990"/>
      </w:tblGrid>
      <w:tr w:rsidR="00642A2A" w:rsidRPr="00262600" w14:paraId="368469FE" w14:textId="77777777" w:rsidTr="004A10F0">
        <w:trPr>
          <w:trHeight w:val="224"/>
          <w:tblHeader/>
          <w:jc w:val="center"/>
        </w:trPr>
        <w:tc>
          <w:tcPr>
            <w:tcW w:w="2748" w:type="dxa"/>
            <w:vMerge w:val="restart"/>
            <w:vAlign w:val="center"/>
          </w:tcPr>
          <w:p w14:paraId="36AA0CBB" w14:textId="77777777" w:rsidR="00642A2A" w:rsidRPr="004A10F0" w:rsidRDefault="00642A2A" w:rsidP="00CE323E">
            <w:pPr>
              <w:pStyle w:val="ListParagraph"/>
              <w:spacing w:after="0" w:line="240" w:lineRule="auto"/>
              <w:rPr>
                <w:rFonts w:ascii="Arial" w:hAnsi="Arial" w:cs="Arial"/>
                <w:b/>
                <w:bCs/>
                <w:sz w:val="15"/>
                <w:szCs w:val="15"/>
                <w:lang w:val="id-ID"/>
              </w:rPr>
            </w:pPr>
            <w:r w:rsidRPr="004A10F0">
              <w:rPr>
                <w:rFonts w:ascii="Arial" w:hAnsi="Arial" w:cs="Arial"/>
                <w:b/>
                <w:bCs/>
                <w:sz w:val="15"/>
                <w:szCs w:val="15"/>
                <w:lang w:val="id-ID"/>
              </w:rPr>
              <w:t>Karakteristik Responden</w:t>
            </w:r>
          </w:p>
        </w:tc>
        <w:tc>
          <w:tcPr>
            <w:tcW w:w="1923" w:type="dxa"/>
            <w:gridSpan w:val="2"/>
          </w:tcPr>
          <w:p w14:paraId="34B7255F" w14:textId="77777777" w:rsidR="00642A2A" w:rsidRPr="004A10F0" w:rsidRDefault="00642A2A" w:rsidP="00CE323E">
            <w:pPr>
              <w:pStyle w:val="ListParagraph"/>
              <w:spacing w:after="0" w:line="240" w:lineRule="auto"/>
              <w:rPr>
                <w:rFonts w:ascii="Arial" w:hAnsi="Arial" w:cs="Arial"/>
                <w:b/>
                <w:bCs/>
                <w:sz w:val="15"/>
                <w:szCs w:val="15"/>
                <w:lang w:val="id-ID"/>
              </w:rPr>
            </w:pPr>
            <w:r w:rsidRPr="004A10F0">
              <w:rPr>
                <w:rFonts w:ascii="Arial" w:hAnsi="Arial" w:cs="Arial"/>
                <w:b/>
                <w:bCs/>
                <w:sz w:val="15"/>
                <w:szCs w:val="15"/>
                <w:lang w:val="id-ID"/>
              </w:rPr>
              <w:t>Intervensi</w:t>
            </w:r>
          </w:p>
        </w:tc>
        <w:tc>
          <w:tcPr>
            <w:tcW w:w="1923" w:type="dxa"/>
            <w:gridSpan w:val="2"/>
          </w:tcPr>
          <w:p w14:paraId="71217344" w14:textId="77777777" w:rsidR="00642A2A" w:rsidRPr="004A10F0" w:rsidRDefault="00642A2A" w:rsidP="00CE323E">
            <w:pPr>
              <w:pStyle w:val="ListParagraph"/>
              <w:spacing w:after="0" w:line="240" w:lineRule="auto"/>
              <w:rPr>
                <w:rFonts w:ascii="Arial" w:hAnsi="Arial" w:cs="Arial"/>
                <w:b/>
                <w:bCs/>
                <w:sz w:val="15"/>
                <w:szCs w:val="15"/>
                <w:lang w:val="id-ID"/>
              </w:rPr>
            </w:pPr>
            <w:r w:rsidRPr="004A10F0">
              <w:rPr>
                <w:rFonts w:ascii="Arial" w:hAnsi="Arial" w:cs="Arial"/>
                <w:b/>
                <w:bCs/>
                <w:sz w:val="15"/>
                <w:szCs w:val="15"/>
                <w:lang w:val="id-ID"/>
              </w:rPr>
              <w:t>Kontrol</w:t>
            </w:r>
          </w:p>
        </w:tc>
        <w:tc>
          <w:tcPr>
            <w:tcW w:w="1951" w:type="dxa"/>
            <w:gridSpan w:val="2"/>
          </w:tcPr>
          <w:p w14:paraId="2B4FFC07" w14:textId="77777777" w:rsidR="00642A2A" w:rsidRPr="004A10F0" w:rsidRDefault="00642A2A" w:rsidP="00CE323E">
            <w:pPr>
              <w:pStyle w:val="ListParagraph"/>
              <w:spacing w:after="0" w:line="240" w:lineRule="auto"/>
              <w:rPr>
                <w:rFonts w:ascii="Arial" w:hAnsi="Arial" w:cs="Arial"/>
                <w:b/>
                <w:bCs/>
                <w:sz w:val="15"/>
                <w:szCs w:val="15"/>
                <w:lang w:val="id-ID"/>
              </w:rPr>
            </w:pPr>
            <w:r w:rsidRPr="004A10F0">
              <w:rPr>
                <w:rFonts w:ascii="Arial" w:hAnsi="Arial" w:cs="Arial"/>
                <w:b/>
                <w:bCs/>
                <w:sz w:val="15"/>
                <w:szCs w:val="15"/>
                <w:lang w:val="id-ID"/>
              </w:rPr>
              <w:t>Total</w:t>
            </w:r>
          </w:p>
        </w:tc>
      </w:tr>
      <w:tr w:rsidR="00642A2A" w:rsidRPr="00262600" w14:paraId="7146DAB3" w14:textId="77777777" w:rsidTr="004A10F0">
        <w:trPr>
          <w:trHeight w:val="144"/>
          <w:tblHeader/>
          <w:jc w:val="center"/>
        </w:trPr>
        <w:tc>
          <w:tcPr>
            <w:tcW w:w="2748" w:type="dxa"/>
            <w:vMerge/>
          </w:tcPr>
          <w:p w14:paraId="10E2F9C3" w14:textId="77777777" w:rsidR="00642A2A" w:rsidRPr="004A10F0" w:rsidRDefault="00642A2A" w:rsidP="00CE323E">
            <w:pPr>
              <w:pStyle w:val="ListParagraph"/>
              <w:spacing w:after="0" w:line="240" w:lineRule="auto"/>
              <w:rPr>
                <w:rFonts w:ascii="Arial" w:hAnsi="Arial" w:cs="Arial"/>
                <w:b/>
                <w:bCs/>
                <w:sz w:val="15"/>
                <w:szCs w:val="15"/>
                <w:lang w:val="id-ID"/>
              </w:rPr>
            </w:pPr>
          </w:p>
        </w:tc>
        <w:tc>
          <w:tcPr>
            <w:tcW w:w="826" w:type="dxa"/>
          </w:tcPr>
          <w:p w14:paraId="6E946210" w14:textId="5B5856B9" w:rsidR="00642A2A" w:rsidRPr="004A10F0" w:rsidRDefault="00E832F2" w:rsidP="00E832F2">
            <w:pPr>
              <w:tabs>
                <w:tab w:val="left" w:pos="611"/>
              </w:tabs>
              <w:spacing w:line="240" w:lineRule="auto"/>
              <w:rPr>
                <w:rFonts w:ascii="Arial" w:hAnsi="Arial" w:cs="Arial"/>
                <w:b/>
                <w:bCs/>
                <w:sz w:val="15"/>
                <w:szCs w:val="15"/>
              </w:rPr>
            </w:pPr>
            <w:r w:rsidRPr="004A10F0">
              <w:rPr>
                <w:rFonts w:ascii="Arial" w:hAnsi="Arial" w:cs="Arial"/>
                <w:b/>
                <w:bCs/>
                <w:sz w:val="15"/>
                <w:szCs w:val="15"/>
              </w:rPr>
              <w:t>n</w:t>
            </w:r>
          </w:p>
        </w:tc>
        <w:tc>
          <w:tcPr>
            <w:tcW w:w="1097" w:type="dxa"/>
          </w:tcPr>
          <w:p w14:paraId="4D82F0CE" w14:textId="77777777" w:rsidR="00642A2A" w:rsidRPr="004A10F0" w:rsidRDefault="00642A2A" w:rsidP="009873EC">
            <w:pPr>
              <w:pStyle w:val="ListParagraph"/>
              <w:spacing w:after="0" w:line="240" w:lineRule="auto"/>
              <w:ind w:left="98"/>
              <w:rPr>
                <w:rFonts w:ascii="Arial" w:hAnsi="Arial" w:cs="Arial"/>
                <w:b/>
                <w:bCs/>
                <w:sz w:val="15"/>
                <w:szCs w:val="15"/>
                <w:lang w:val="id-ID"/>
              </w:rPr>
            </w:pPr>
            <w:r w:rsidRPr="004A10F0">
              <w:rPr>
                <w:rFonts w:ascii="Arial" w:hAnsi="Arial" w:cs="Arial"/>
                <w:b/>
                <w:bCs/>
                <w:sz w:val="15"/>
                <w:szCs w:val="15"/>
                <w:lang w:val="id-ID"/>
              </w:rPr>
              <w:t>%</w:t>
            </w:r>
          </w:p>
        </w:tc>
        <w:tc>
          <w:tcPr>
            <w:tcW w:w="824" w:type="dxa"/>
          </w:tcPr>
          <w:p w14:paraId="335CE561" w14:textId="77777777" w:rsidR="00642A2A" w:rsidRPr="004A10F0" w:rsidRDefault="00642A2A" w:rsidP="009873EC">
            <w:pPr>
              <w:pStyle w:val="ListParagraph"/>
              <w:spacing w:after="0" w:line="240" w:lineRule="auto"/>
              <w:ind w:left="98"/>
              <w:rPr>
                <w:rFonts w:ascii="Arial" w:hAnsi="Arial" w:cs="Arial"/>
                <w:b/>
                <w:bCs/>
                <w:sz w:val="15"/>
                <w:szCs w:val="15"/>
                <w:lang w:val="id-ID"/>
              </w:rPr>
            </w:pPr>
            <w:r w:rsidRPr="004A10F0">
              <w:rPr>
                <w:rFonts w:ascii="Arial" w:hAnsi="Arial" w:cs="Arial"/>
                <w:b/>
                <w:bCs/>
                <w:sz w:val="15"/>
                <w:szCs w:val="15"/>
                <w:lang w:val="id-ID"/>
              </w:rPr>
              <w:t>n</w:t>
            </w:r>
          </w:p>
        </w:tc>
        <w:tc>
          <w:tcPr>
            <w:tcW w:w="1099" w:type="dxa"/>
          </w:tcPr>
          <w:p w14:paraId="0DD88C37" w14:textId="77777777" w:rsidR="00642A2A" w:rsidRPr="004A10F0" w:rsidRDefault="00642A2A" w:rsidP="009873EC">
            <w:pPr>
              <w:pStyle w:val="ListParagraph"/>
              <w:spacing w:after="0" w:line="240" w:lineRule="auto"/>
              <w:ind w:left="98"/>
              <w:rPr>
                <w:rFonts w:ascii="Arial" w:hAnsi="Arial" w:cs="Arial"/>
                <w:b/>
                <w:bCs/>
                <w:sz w:val="15"/>
                <w:szCs w:val="15"/>
                <w:lang w:val="id-ID"/>
              </w:rPr>
            </w:pPr>
            <w:r w:rsidRPr="004A10F0">
              <w:rPr>
                <w:rFonts w:ascii="Arial" w:hAnsi="Arial" w:cs="Arial"/>
                <w:b/>
                <w:bCs/>
                <w:sz w:val="15"/>
                <w:szCs w:val="15"/>
                <w:lang w:val="id-ID"/>
              </w:rPr>
              <w:t>%</w:t>
            </w:r>
          </w:p>
        </w:tc>
        <w:tc>
          <w:tcPr>
            <w:tcW w:w="961" w:type="dxa"/>
          </w:tcPr>
          <w:p w14:paraId="4787C284" w14:textId="77777777" w:rsidR="00642A2A" w:rsidRPr="004A10F0" w:rsidRDefault="00642A2A" w:rsidP="009873EC">
            <w:pPr>
              <w:pStyle w:val="ListParagraph"/>
              <w:spacing w:after="0" w:line="240" w:lineRule="auto"/>
              <w:ind w:left="98"/>
              <w:rPr>
                <w:rFonts w:ascii="Arial" w:hAnsi="Arial" w:cs="Arial"/>
                <w:b/>
                <w:bCs/>
                <w:sz w:val="15"/>
                <w:szCs w:val="15"/>
                <w:lang w:val="id-ID"/>
              </w:rPr>
            </w:pPr>
            <w:r w:rsidRPr="004A10F0">
              <w:rPr>
                <w:rFonts w:ascii="Arial" w:hAnsi="Arial" w:cs="Arial"/>
                <w:b/>
                <w:bCs/>
                <w:sz w:val="15"/>
                <w:szCs w:val="15"/>
                <w:lang w:val="id-ID"/>
              </w:rPr>
              <w:t>n</w:t>
            </w:r>
          </w:p>
        </w:tc>
        <w:tc>
          <w:tcPr>
            <w:tcW w:w="990" w:type="dxa"/>
          </w:tcPr>
          <w:p w14:paraId="3E3E260F" w14:textId="77777777" w:rsidR="00642A2A" w:rsidRPr="004A10F0" w:rsidRDefault="00642A2A" w:rsidP="009873EC">
            <w:pPr>
              <w:pStyle w:val="ListParagraph"/>
              <w:spacing w:after="0" w:line="240" w:lineRule="auto"/>
              <w:ind w:left="98"/>
              <w:rPr>
                <w:rFonts w:ascii="Arial" w:hAnsi="Arial" w:cs="Arial"/>
                <w:b/>
                <w:bCs/>
                <w:sz w:val="15"/>
                <w:szCs w:val="15"/>
                <w:lang w:val="id-ID"/>
              </w:rPr>
            </w:pPr>
            <w:r w:rsidRPr="004A10F0">
              <w:rPr>
                <w:rFonts w:ascii="Arial" w:hAnsi="Arial" w:cs="Arial"/>
                <w:b/>
                <w:bCs/>
                <w:sz w:val="15"/>
                <w:szCs w:val="15"/>
                <w:lang w:val="id-ID"/>
              </w:rPr>
              <w:t>%</w:t>
            </w:r>
          </w:p>
        </w:tc>
      </w:tr>
      <w:tr w:rsidR="00642A2A" w:rsidRPr="00262600" w14:paraId="56B55C3C" w14:textId="77777777" w:rsidTr="004A10F0">
        <w:trPr>
          <w:trHeight w:val="93"/>
          <w:jc w:val="center"/>
        </w:trPr>
        <w:tc>
          <w:tcPr>
            <w:tcW w:w="2748" w:type="dxa"/>
            <w:vAlign w:val="center"/>
          </w:tcPr>
          <w:p w14:paraId="4640E948" w14:textId="77777777" w:rsidR="00642A2A" w:rsidRPr="004A10F0" w:rsidRDefault="00642A2A" w:rsidP="00CE323E">
            <w:pPr>
              <w:spacing w:line="240" w:lineRule="auto"/>
              <w:rPr>
                <w:rFonts w:ascii="Arial" w:hAnsi="Arial" w:cs="Arial"/>
                <w:b/>
                <w:bCs/>
                <w:sz w:val="15"/>
                <w:szCs w:val="15"/>
              </w:rPr>
            </w:pPr>
            <w:r w:rsidRPr="004A10F0">
              <w:rPr>
                <w:rFonts w:ascii="Arial" w:hAnsi="Arial" w:cs="Arial"/>
                <w:b/>
                <w:bCs/>
                <w:sz w:val="15"/>
                <w:szCs w:val="15"/>
              </w:rPr>
              <w:t>Jenis Kelamin</w:t>
            </w:r>
          </w:p>
        </w:tc>
        <w:tc>
          <w:tcPr>
            <w:tcW w:w="826" w:type="dxa"/>
            <w:vAlign w:val="center"/>
          </w:tcPr>
          <w:p w14:paraId="43424A7E" w14:textId="77777777" w:rsidR="00642A2A" w:rsidRPr="00262600" w:rsidRDefault="00642A2A" w:rsidP="00CE323E">
            <w:pPr>
              <w:spacing w:line="240" w:lineRule="auto"/>
              <w:rPr>
                <w:rFonts w:ascii="Arial" w:hAnsi="Arial" w:cs="Arial"/>
                <w:sz w:val="15"/>
                <w:szCs w:val="15"/>
              </w:rPr>
            </w:pPr>
          </w:p>
        </w:tc>
        <w:tc>
          <w:tcPr>
            <w:tcW w:w="1097" w:type="dxa"/>
            <w:vAlign w:val="center"/>
          </w:tcPr>
          <w:p w14:paraId="6130ADB8" w14:textId="77777777" w:rsidR="00642A2A" w:rsidRPr="00262600" w:rsidRDefault="00642A2A" w:rsidP="00CE323E">
            <w:pPr>
              <w:spacing w:line="240" w:lineRule="auto"/>
              <w:rPr>
                <w:rFonts w:ascii="Arial" w:hAnsi="Arial" w:cs="Arial"/>
                <w:sz w:val="15"/>
                <w:szCs w:val="15"/>
              </w:rPr>
            </w:pPr>
          </w:p>
        </w:tc>
        <w:tc>
          <w:tcPr>
            <w:tcW w:w="824" w:type="dxa"/>
            <w:vAlign w:val="center"/>
          </w:tcPr>
          <w:p w14:paraId="238565E7" w14:textId="77777777" w:rsidR="00642A2A" w:rsidRPr="00262600" w:rsidRDefault="00642A2A" w:rsidP="00CE323E">
            <w:pPr>
              <w:spacing w:line="240" w:lineRule="auto"/>
              <w:rPr>
                <w:rFonts w:ascii="Arial" w:hAnsi="Arial" w:cs="Arial"/>
                <w:sz w:val="15"/>
                <w:szCs w:val="15"/>
              </w:rPr>
            </w:pPr>
          </w:p>
        </w:tc>
        <w:tc>
          <w:tcPr>
            <w:tcW w:w="1099" w:type="dxa"/>
            <w:vAlign w:val="center"/>
          </w:tcPr>
          <w:p w14:paraId="4FA324A3" w14:textId="77777777" w:rsidR="00642A2A" w:rsidRPr="00262600" w:rsidRDefault="00642A2A" w:rsidP="00CE323E">
            <w:pPr>
              <w:spacing w:line="240" w:lineRule="auto"/>
              <w:rPr>
                <w:rFonts w:ascii="Arial" w:hAnsi="Arial" w:cs="Arial"/>
                <w:sz w:val="15"/>
                <w:szCs w:val="15"/>
              </w:rPr>
            </w:pPr>
          </w:p>
        </w:tc>
        <w:tc>
          <w:tcPr>
            <w:tcW w:w="961" w:type="dxa"/>
            <w:vAlign w:val="center"/>
          </w:tcPr>
          <w:p w14:paraId="40C15343" w14:textId="77777777" w:rsidR="00642A2A" w:rsidRPr="00262600" w:rsidRDefault="00642A2A" w:rsidP="00CE323E">
            <w:pPr>
              <w:spacing w:line="240" w:lineRule="auto"/>
              <w:rPr>
                <w:rFonts w:ascii="Arial" w:hAnsi="Arial" w:cs="Arial"/>
                <w:sz w:val="15"/>
                <w:szCs w:val="15"/>
              </w:rPr>
            </w:pPr>
          </w:p>
        </w:tc>
        <w:tc>
          <w:tcPr>
            <w:tcW w:w="990" w:type="dxa"/>
            <w:vAlign w:val="center"/>
          </w:tcPr>
          <w:p w14:paraId="53A40735" w14:textId="77777777" w:rsidR="00642A2A" w:rsidRPr="00262600" w:rsidRDefault="00642A2A" w:rsidP="00CE323E">
            <w:pPr>
              <w:spacing w:line="240" w:lineRule="auto"/>
              <w:rPr>
                <w:rFonts w:ascii="Arial" w:hAnsi="Arial" w:cs="Arial"/>
                <w:sz w:val="15"/>
                <w:szCs w:val="15"/>
              </w:rPr>
            </w:pPr>
          </w:p>
        </w:tc>
      </w:tr>
      <w:tr w:rsidR="00642A2A" w:rsidRPr="00262600" w14:paraId="1AD3C4F1" w14:textId="77777777" w:rsidTr="004A10F0">
        <w:trPr>
          <w:trHeight w:val="239"/>
          <w:jc w:val="center"/>
        </w:trPr>
        <w:tc>
          <w:tcPr>
            <w:tcW w:w="2748" w:type="dxa"/>
            <w:vAlign w:val="center"/>
          </w:tcPr>
          <w:p w14:paraId="06A05DCA"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Laki-laki</w:t>
            </w:r>
          </w:p>
        </w:tc>
        <w:tc>
          <w:tcPr>
            <w:tcW w:w="826" w:type="dxa"/>
            <w:vAlign w:val="center"/>
          </w:tcPr>
          <w:p w14:paraId="513AC8C0"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22</w:t>
            </w:r>
          </w:p>
        </w:tc>
        <w:tc>
          <w:tcPr>
            <w:tcW w:w="1097" w:type="dxa"/>
            <w:vAlign w:val="center"/>
          </w:tcPr>
          <w:p w14:paraId="57345AB2"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44,0</w:t>
            </w:r>
          </w:p>
        </w:tc>
        <w:tc>
          <w:tcPr>
            <w:tcW w:w="824" w:type="dxa"/>
            <w:vAlign w:val="center"/>
          </w:tcPr>
          <w:p w14:paraId="0E883C8D"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29</w:t>
            </w:r>
          </w:p>
        </w:tc>
        <w:tc>
          <w:tcPr>
            <w:tcW w:w="1099" w:type="dxa"/>
            <w:vAlign w:val="center"/>
          </w:tcPr>
          <w:p w14:paraId="1B87B78E"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58,0</w:t>
            </w:r>
          </w:p>
        </w:tc>
        <w:tc>
          <w:tcPr>
            <w:tcW w:w="961" w:type="dxa"/>
            <w:vAlign w:val="center"/>
          </w:tcPr>
          <w:p w14:paraId="40997D41"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51</w:t>
            </w:r>
          </w:p>
        </w:tc>
        <w:tc>
          <w:tcPr>
            <w:tcW w:w="990" w:type="dxa"/>
            <w:vAlign w:val="center"/>
          </w:tcPr>
          <w:p w14:paraId="5B670911"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51,0</w:t>
            </w:r>
          </w:p>
        </w:tc>
      </w:tr>
      <w:tr w:rsidR="00642A2A" w:rsidRPr="00262600" w14:paraId="436747FD" w14:textId="77777777" w:rsidTr="004A10F0">
        <w:trPr>
          <w:trHeight w:val="254"/>
          <w:jc w:val="center"/>
        </w:trPr>
        <w:tc>
          <w:tcPr>
            <w:tcW w:w="2748" w:type="dxa"/>
            <w:vAlign w:val="center"/>
          </w:tcPr>
          <w:p w14:paraId="49371D61"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Perempuan</w:t>
            </w:r>
          </w:p>
        </w:tc>
        <w:tc>
          <w:tcPr>
            <w:tcW w:w="826" w:type="dxa"/>
            <w:vAlign w:val="center"/>
          </w:tcPr>
          <w:p w14:paraId="626EE52F"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28</w:t>
            </w:r>
          </w:p>
        </w:tc>
        <w:tc>
          <w:tcPr>
            <w:tcW w:w="1097" w:type="dxa"/>
            <w:vAlign w:val="center"/>
          </w:tcPr>
          <w:p w14:paraId="535B18D6"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56,0</w:t>
            </w:r>
          </w:p>
        </w:tc>
        <w:tc>
          <w:tcPr>
            <w:tcW w:w="824" w:type="dxa"/>
            <w:vAlign w:val="center"/>
          </w:tcPr>
          <w:p w14:paraId="68D49EA2"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21</w:t>
            </w:r>
          </w:p>
        </w:tc>
        <w:tc>
          <w:tcPr>
            <w:tcW w:w="1099" w:type="dxa"/>
            <w:vAlign w:val="center"/>
          </w:tcPr>
          <w:p w14:paraId="3FD6A556"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42,0</w:t>
            </w:r>
          </w:p>
        </w:tc>
        <w:tc>
          <w:tcPr>
            <w:tcW w:w="961" w:type="dxa"/>
            <w:vAlign w:val="center"/>
          </w:tcPr>
          <w:p w14:paraId="2891B115"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49</w:t>
            </w:r>
          </w:p>
        </w:tc>
        <w:tc>
          <w:tcPr>
            <w:tcW w:w="990" w:type="dxa"/>
            <w:vAlign w:val="center"/>
          </w:tcPr>
          <w:p w14:paraId="78432820"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49,0</w:t>
            </w:r>
          </w:p>
        </w:tc>
      </w:tr>
      <w:tr w:rsidR="004A10F0" w:rsidRPr="00262600" w14:paraId="23434E30" w14:textId="77777777" w:rsidTr="004A10F0">
        <w:trPr>
          <w:trHeight w:val="254"/>
          <w:jc w:val="center"/>
        </w:trPr>
        <w:tc>
          <w:tcPr>
            <w:tcW w:w="2748" w:type="dxa"/>
            <w:vAlign w:val="center"/>
          </w:tcPr>
          <w:p w14:paraId="1DEB3467" w14:textId="5EEE6FB8" w:rsidR="004A10F0" w:rsidRPr="004A10F0" w:rsidRDefault="004A10F0" w:rsidP="004A10F0">
            <w:pPr>
              <w:pStyle w:val="ListParagraph"/>
              <w:spacing w:after="0" w:line="240" w:lineRule="auto"/>
              <w:ind w:left="0"/>
              <w:rPr>
                <w:rFonts w:ascii="Arial" w:hAnsi="Arial" w:cs="Arial"/>
                <w:b/>
                <w:bCs/>
                <w:sz w:val="15"/>
                <w:szCs w:val="15"/>
              </w:rPr>
            </w:pPr>
            <w:r w:rsidRPr="004A10F0">
              <w:rPr>
                <w:rFonts w:ascii="Arial" w:hAnsi="Arial" w:cs="Arial"/>
                <w:b/>
                <w:bCs/>
                <w:sz w:val="15"/>
                <w:szCs w:val="15"/>
              </w:rPr>
              <w:t>Usia</w:t>
            </w:r>
          </w:p>
        </w:tc>
        <w:tc>
          <w:tcPr>
            <w:tcW w:w="826" w:type="dxa"/>
            <w:vAlign w:val="center"/>
          </w:tcPr>
          <w:p w14:paraId="63460B8A" w14:textId="77777777" w:rsidR="004A10F0" w:rsidRPr="00262600" w:rsidRDefault="004A10F0" w:rsidP="00CE323E">
            <w:pPr>
              <w:spacing w:line="240" w:lineRule="auto"/>
              <w:rPr>
                <w:rFonts w:ascii="Arial" w:hAnsi="Arial" w:cs="Arial"/>
                <w:sz w:val="15"/>
                <w:szCs w:val="15"/>
              </w:rPr>
            </w:pPr>
          </w:p>
        </w:tc>
        <w:tc>
          <w:tcPr>
            <w:tcW w:w="1097" w:type="dxa"/>
            <w:vAlign w:val="center"/>
          </w:tcPr>
          <w:p w14:paraId="113588D9" w14:textId="77777777" w:rsidR="004A10F0" w:rsidRPr="00262600" w:rsidRDefault="004A10F0" w:rsidP="00CE323E">
            <w:pPr>
              <w:spacing w:line="240" w:lineRule="auto"/>
              <w:rPr>
                <w:rFonts w:ascii="Arial" w:hAnsi="Arial" w:cs="Arial"/>
                <w:sz w:val="15"/>
                <w:szCs w:val="15"/>
              </w:rPr>
            </w:pPr>
          </w:p>
        </w:tc>
        <w:tc>
          <w:tcPr>
            <w:tcW w:w="824" w:type="dxa"/>
            <w:vAlign w:val="center"/>
          </w:tcPr>
          <w:p w14:paraId="4DCFACE5" w14:textId="77777777" w:rsidR="004A10F0" w:rsidRPr="00262600" w:rsidRDefault="004A10F0" w:rsidP="00CE323E">
            <w:pPr>
              <w:spacing w:line="240" w:lineRule="auto"/>
              <w:rPr>
                <w:rFonts w:ascii="Arial" w:hAnsi="Arial" w:cs="Arial"/>
                <w:sz w:val="15"/>
                <w:szCs w:val="15"/>
              </w:rPr>
            </w:pPr>
          </w:p>
        </w:tc>
        <w:tc>
          <w:tcPr>
            <w:tcW w:w="1099" w:type="dxa"/>
            <w:vAlign w:val="center"/>
          </w:tcPr>
          <w:p w14:paraId="3328B2A5" w14:textId="77777777" w:rsidR="004A10F0" w:rsidRPr="00262600" w:rsidRDefault="004A10F0" w:rsidP="00CE323E">
            <w:pPr>
              <w:spacing w:line="240" w:lineRule="auto"/>
              <w:rPr>
                <w:rFonts w:ascii="Arial" w:hAnsi="Arial" w:cs="Arial"/>
                <w:sz w:val="15"/>
                <w:szCs w:val="15"/>
              </w:rPr>
            </w:pPr>
          </w:p>
        </w:tc>
        <w:tc>
          <w:tcPr>
            <w:tcW w:w="961" w:type="dxa"/>
            <w:vAlign w:val="center"/>
          </w:tcPr>
          <w:p w14:paraId="3B5A3B88" w14:textId="77777777" w:rsidR="004A10F0" w:rsidRPr="00262600" w:rsidRDefault="004A10F0" w:rsidP="00CE323E">
            <w:pPr>
              <w:spacing w:line="240" w:lineRule="auto"/>
              <w:rPr>
                <w:rFonts w:ascii="Arial" w:hAnsi="Arial" w:cs="Arial"/>
                <w:sz w:val="15"/>
                <w:szCs w:val="15"/>
              </w:rPr>
            </w:pPr>
          </w:p>
        </w:tc>
        <w:tc>
          <w:tcPr>
            <w:tcW w:w="990" w:type="dxa"/>
            <w:vAlign w:val="center"/>
          </w:tcPr>
          <w:p w14:paraId="0FAAB736" w14:textId="77777777" w:rsidR="004A10F0" w:rsidRPr="00262600" w:rsidRDefault="004A10F0" w:rsidP="009873EC">
            <w:pPr>
              <w:spacing w:line="240" w:lineRule="auto"/>
              <w:jc w:val="center"/>
              <w:rPr>
                <w:rFonts w:ascii="Arial" w:hAnsi="Arial" w:cs="Arial"/>
                <w:sz w:val="15"/>
                <w:szCs w:val="15"/>
              </w:rPr>
            </w:pPr>
          </w:p>
        </w:tc>
      </w:tr>
      <w:tr w:rsidR="004A10F0" w:rsidRPr="00262600" w14:paraId="559C5732" w14:textId="77777777" w:rsidTr="004A10F0">
        <w:trPr>
          <w:trHeight w:val="254"/>
          <w:jc w:val="center"/>
        </w:trPr>
        <w:tc>
          <w:tcPr>
            <w:tcW w:w="2748" w:type="dxa"/>
            <w:vAlign w:val="center"/>
          </w:tcPr>
          <w:p w14:paraId="756E3FC5" w14:textId="4294388C" w:rsidR="004A10F0" w:rsidRPr="00262600" w:rsidRDefault="004A10F0" w:rsidP="004A10F0">
            <w:pPr>
              <w:pStyle w:val="ListParagraph"/>
              <w:numPr>
                <w:ilvl w:val="0"/>
                <w:numId w:val="5"/>
              </w:numPr>
              <w:spacing w:after="0" w:line="240" w:lineRule="auto"/>
              <w:ind w:left="785"/>
              <w:rPr>
                <w:rFonts w:ascii="Arial" w:hAnsi="Arial" w:cs="Arial"/>
                <w:sz w:val="15"/>
                <w:szCs w:val="15"/>
              </w:rPr>
            </w:pPr>
            <w:r>
              <w:rPr>
                <w:rFonts w:ascii="Arial" w:hAnsi="Arial" w:cs="Arial"/>
                <w:sz w:val="15"/>
                <w:szCs w:val="15"/>
              </w:rPr>
              <w:t>&lt; 35 thn</w:t>
            </w:r>
          </w:p>
        </w:tc>
        <w:tc>
          <w:tcPr>
            <w:tcW w:w="826" w:type="dxa"/>
            <w:vAlign w:val="center"/>
          </w:tcPr>
          <w:p w14:paraId="219154D7" w14:textId="77777777" w:rsidR="004A10F0" w:rsidRPr="00262600" w:rsidRDefault="004A10F0" w:rsidP="00CE323E">
            <w:pPr>
              <w:spacing w:line="240" w:lineRule="auto"/>
              <w:rPr>
                <w:rFonts w:ascii="Arial" w:hAnsi="Arial" w:cs="Arial"/>
                <w:sz w:val="15"/>
                <w:szCs w:val="15"/>
              </w:rPr>
            </w:pPr>
          </w:p>
        </w:tc>
        <w:tc>
          <w:tcPr>
            <w:tcW w:w="1097" w:type="dxa"/>
            <w:vAlign w:val="center"/>
          </w:tcPr>
          <w:p w14:paraId="5F7081B6" w14:textId="77777777" w:rsidR="004A10F0" w:rsidRPr="00262600" w:rsidRDefault="004A10F0" w:rsidP="00CE323E">
            <w:pPr>
              <w:spacing w:line="240" w:lineRule="auto"/>
              <w:rPr>
                <w:rFonts w:ascii="Arial" w:hAnsi="Arial" w:cs="Arial"/>
                <w:sz w:val="15"/>
                <w:szCs w:val="15"/>
              </w:rPr>
            </w:pPr>
          </w:p>
        </w:tc>
        <w:tc>
          <w:tcPr>
            <w:tcW w:w="824" w:type="dxa"/>
            <w:vAlign w:val="center"/>
          </w:tcPr>
          <w:p w14:paraId="7A2D1980" w14:textId="77777777" w:rsidR="004A10F0" w:rsidRPr="00262600" w:rsidRDefault="004A10F0" w:rsidP="00CE323E">
            <w:pPr>
              <w:spacing w:line="240" w:lineRule="auto"/>
              <w:rPr>
                <w:rFonts w:ascii="Arial" w:hAnsi="Arial" w:cs="Arial"/>
                <w:sz w:val="15"/>
                <w:szCs w:val="15"/>
              </w:rPr>
            </w:pPr>
          </w:p>
        </w:tc>
        <w:tc>
          <w:tcPr>
            <w:tcW w:w="1099" w:type="dxa"/>
            <w:vAlign w:val="center"/>
          </w:tcPr>
          <w:p w14:paraId="2F384367" w14:textId="77777777" w:rsidR="004A10F0" w:rsidRPr="00262600" w:rsidRDefault="004A10F0" w:rsidP="00CE323E">
            <w:pPr>
              <w:spacing w:line="240" w:lineRule="auto"/>
              <w:rPr>
                <w:rFonts w:ascii="Arial" w:hAnsi="Arial" w:cs="Arial"/>
                <w:sz w:val="15"/>
                <w:szCs w:val="15"/>
              </w:rPr>
            </w:pPr>
          </w:p>
        </w:tc>
        <w:tc>
          <w:tcPr>
            <w:tcW w:w="961" w:type="dxa"/>
            <w:vAlign w:val="center"/>
          </w:tcPr>
          <w:p w14:paraId="1C7EA2A8" w14:textId="77777777" w:rsidR="004A10F0" w:rsidRPr="00262600" w:rsidRDefault="004A10F0" w:rsidP="00CE323E">
            <w:pPr>
              <w:spacing w:line="240" w:lineRule="auto"/>
              <w:rPr>
                <w:rFonts w:ascii="Arial" w:hAnsi="Arial" w:cs="Arial"/>
                <w:sz w:val="15"/>
                <w:szCs w:val="15"/>
              </w:rPr>
            </w:pPr>
          </w:p>
        </w:tc>
        <w:tc>
          <w:tcPr>
            <w:tcW w:w="990" w:type="dxa"/>
            <w:vAlign w:val="center"/>
          </w:tcPr>
          <w:p w14:paraId="4132D183" w14:textId="77777777" w:rsidR="004A10F0" w:rsidRPr="00262600" w:rsidRDefault="004A10F0" w:rsidP="009873EC">
            <w:pPr>
              <w:spacing w:line="240" w:lineRule="auto"/>
              <w:jc w:val="center"/>
              <w:rPr>
                <w:rFonts w:ascii="Arial" w:hAnsi="Arial" w:cs="Arial"/>
                <w:sz w:val="15"/>
                <w:szCs w:val="15"/>
              </w:rPr>
            </w:pPr>
          </w:p>
        </w:tc>
      </w:tr>
      <w:tr w:rsidR="004A10F0" w:rsidRPr="00262600" w14:paraId="4C6F1C2A" w14:textId="77777777" w:rsidTr="004A10F0">
        <w:trPr>
          <w:trHeight w:val="254"/>
          <w:jc w:val="center"/>
        </w:trPr>
        <w:tc>
          <w:tcPr>
            <w:tcW w:w="2748" w:type="dxa"/>
            <w:vAlign w:val="center"/>
          </w:tcPr>
          <w:p w14:paraId="5BD3AFB4" w14:textId="36738E33" w:rsidR="004A10F0" w:rsidRPr="00262600" w:rsidRDefault="004A10F0" w:rsidP="004A10F0">
            <w:pPr>
              <w:pStyle w:val="ListParagraph"/>
              <w:numPr>
                <w:ilvl w:val="0"/>
                <w:numId w:val="5"/>
              </w:numPr>
              <w:spacing w:after="0" w:line="240" w:lineRule="auto"/>
              <w:ind w:left="785"/>
              <w:rPr>
                <w:rFonts w:ascii="Arial" w:hAnsi="Arial" w:cs="Arial"/>
                <w:sz w:val="15"/>
                <w:szCs w:val="15"/>
              </w:rPr>
            </w:pPr>
            <w:r>
              <w:rPr>
                <w:rFonts w:ascii="Arial" w:hAnsi="Arial" w:cs="Arial"/>
                <w:sz w:val="15"/>
                <w:szCs w:val="15"/>
              </w:rPr>
              <w:t>36-45 thn</w:t>
            </w:r>
          </w:p>
        </w:tc>
        <w:tc>
          <w:tcPr>
            <w:tcW w:w="826" w:type="dxa"/>
            <w:vAlign w:val="center"/>
          </w:tcPr>
          <w:p w14:paraId="630879B6" w14:textId="77777777" w:rsidR="004A10F0" w:rsidRPr="00262600" w:rsidRDefault="004A10F0" w:rsidP="00CE323E">
            <w:pPr>
              <w:spacing w:line="240" w:lineRule="auto"/>
              <w:rPr>
                <w:rFonts w:ascii="Arial" w:hAnsi="Arial" w:cs="Arial"/>
                <w:sz w:val="15"/>
                <w:szCs w:val="15"/>
              </w:rPr>
            </w:pPr>
          </w:p>
        </w:tc>
        <w:tc>
          <w:tcPr>
            <w:tcW w:w="1097" w:type="dxa"/>
            <w:vAlign w:val="center"/>
          </w:tcPr>
          <w:p w14:paraId="5732157B" w14:textId="77777777" w:rsidR="004A10F0" w:rsidRPr="00262600" w:rsidRDefault="004A10F0" w:rsidP="00CE323E">
            <w:pPr>
              <w:spacing w:line="240" w:lineRule="auto"/>
              <w:rPr>
                <w:rFonts w:ascii="Arial" w:hAnsi="Arial" w:cs="Arial"/>
                <w:sz w:val="15"/>
                <w:szCs w:val="15"/>
              </w:rPr>
            </w:pPr>
          </w:p>
        </w:tc>
        <w:tc>
          <w:tcPr>
            <w:tcW w:w="824" w:type="dxa"/>
            <w:vAlign w:val="center"/>
          </w:tcPr>
          <w:p w14:paraId="376EEBC5" w14:textId="77777777" w:rsidR="004A10F0" w:rsidRPr="00262600" w:rsidRDefault="004A10F0" w:rsidP="00CE323E">
            <w:pPr>
              <w:spacing w:line="240" w:lineRule="auto"/>
              <w:rPr>
                <w:rFonts w:ascii="Arial" w:hAnsi="Arial" w:cs="Arial"/>
                <w:sz w:val="15"/>
                <w:szCs w:val="15"/>
              </w:rPr>
            </w:pPr>
          </w:p>
        </w:tc>
        <w:tc>
          <w:tcPr>
            <w:tcW w:w="1099" w:type="dxa"/>
            <w:vAlign w:val="center"/>
          </w:tcPr>
          <w:p w14:paraId="3557C779" w14:textId="77777777" w:rsidR="004A10F0" w:rsidRPr="00262600" w:rsidRDefault="004A10F0" w:rsidP="00CE323E">
            <w:pPr>
              <w:spacing w:line="240" w:lineRule="auto"/>
              <w:rPr>
                <w:rFonts w:ascii="Arial" w:hAnsi="Arial" w:cs="Arial"/>
                <w:sz w:val="15"/>
                <w:szCs w:val="15"/>
              </w:rPr>
            </w:pPr>
          </w:p>
        </w:tc>
        <w:tc>
          <w:tcPr>
            <w:tcW w:w="961" w:type="dxa"/>
            <w:vAlign w:val="center"/>
          </w:tcPr>
          <w:p w14:paraId="038C3DCF" w14:textId="77777777" w:rsidR="004A10F0" w:rsidRPr="00262600" w:rsidRDefault="004A10F0" w:rsidP="00CE323E">
            <w:pPr>
              <w:spacing w:line="240" w:lineRule="auto"/>
              <w:rPr>
                <w:rFonts w:ascii="Arial" w:hAnsi="Arial" w:cs="Arial"/>
                <w:sz w:val="15"/>
                <w:szCs w:val="15"/>
              </w:rPr>
            </w:pPr>
          </w:p>
        </w:tc>
        <w:tc>
          <w:tcPr>
            <w:tcW w:w="990" w:type="dxa"/>
            <w:vAlign w:val="center"/>
          </w:tcPr>
          <w:p w14:paraId="362BE14D" w14:textId="77777777" w:rsidR="004A10F0" w:rsidRPr="00262600" w:rsidRDefault="004A10F0" w:rsidP="009873EC">
            <w:pPr>
              <w:spacing w:line="240" w:lineRule="auto"/>
              <w:jc w:val="center"/>
              <w:rPr>
                <w:rFonts w:ascii="Arial" w:hAnsi="Arial" w:cs="Arial"/>
                <w:sz w:val="15"/>
                <w:szCs w:val="15"/>
              </w:rPr>
            </w:pPr>
          </w:p>
        </w:tc>
      </w:tr>
      <w:tr w:rsidR="004A10F0" w:rsidRPr="00262600" w14:paraId="6D1F596C" w14:textId="77777777" w:rsidTr="004A10F0">
        <w:trPr>
          <w:trHeight w:val="254"/>
          <w:jc w:val="center"/>
        </w:trPr>
        <w:tc>
          <w:tcPr>
            <w:tcW w:w="2748" w:type="dxa"/>
            <w:vAlign w:val="center"/>
          </w:tcPr>
          <w:p w14:paraId="6C070BAE" w14:textId="5C837044" w:rsidR="004A10F0" w:rsidRPr="00262600" w:rsidRDefault="004A10F0" w:rsidP="004A10F0">
            <w:pPr>
              <w:pStyle w:val="ListParagraph"/>
              <w:numPr>
                <w:ilvl w:val="0"/>
                <w:numId w:val="5"/>
              </w:numPr>
              <w:spacing w:after="0" w:line="240" w:lineRule="auto"/>
              <w:ind w:left="785"/>
              <w:rPr>
                <w:rFonts w:ascii="Arial" w:hAnsi="Arial" w:cs="Arial"/>
                <w:sz w:val="15"/>
                <w:szCs w:val="15"/>
              </w:rPr>
            </w:pPr>
            <w:r>
              <w:rPr>
                <w:rFonts w:ascii="Arial" w:hAnsi="Arial" w:cs="Arial"/>
                <w:sz w:val="15"/>
                <w:szCs w:val="15"/>
              </w:rPr>
              <w:t>46-55 thn</w:t>
            </w:r>
          </w:p>
        </w:tc>
        <w:tc>
          <w:tcPr>
            <w:tcW w:w="826" w:type="dxa"/>
            <w:vAlign w:val="center"/>
          </w:tcPr>
          <w:p w14:paraId="655811BD" w14:textId="77777777" w:rsidR="004A10F0" w:rsidRPr="00262600" w:rsidRDefault="004A10F0" w:rsidP="00CE323E">
            <w:pPr>
              <w:spacing w:line="240" w:lineRule="auto"/>
              <w:rPr>
                <w:rFonts w:ascii="Arial" w:hAnsi="Arial" w:cs="Arial"/>
                <w:sz w:val="15"/>
                <w:szCs w:val="15"/>
              </w:rPr>
            </w:pPr>
          </w:p>
        </w:tc>
        <w:tc>
          <w:tcPr>
            <w:tcW w:w="1097" w:type="dxa"/>
            <w:vAlign w:val="center"/>
          </w:tcPr>
          <w:p w14:paraId="7EAD5F7D" w14:textId="77777777" w:rsidR="004A10F0" w:rsidRPr="00262600" w:rsidRDefault="004A10F0" w:rsidP="00CE323E">
            <w:pPr>
              <w:spacing w:line="240" w:lineRule="auto"/>
              <w:rPr>
                <w:rFonts w:ascii="Arial" w:hAnsi="Arial" w:cs="Arial"/>
                <w:sz w:val="15"/>
                <w:szCs w:val="15"/>
              </w:rPr>
            </w:pPr>
          </w:p>
        </w:tc>
        <w:tc>
          <w:tcPr>
            <w:tcW w:w="824" w:type="dxa"/>
            <w:vAlign w:val="center"/>
          </w:tcPr>
          <w:p w14:paraId="5C354AD3" w14:textId="77777777" w:rsidR="004A10F0" w:rsidRPr="00262600" w:rsidRDefault="004A10F0" w:rsidP="00CE323E">
            <w:pPr>
              <w:spacing w:line="240" w:lineRule="auto"/>
              <w:rPr>
                <w:rFonts w:ascii="Arial" w:hAnsi="Arial" w:cs="Arial"/>
                <w:sz w:val="15"/>
                <w:szCs w:val="15"/>
              </w:rPr>
            </w:pPr>
          </w:p>
        </w:tc>
        <w:tc>
          <w:tcPr>
            <w:tcW w:w="1099" w:type="dxa"/>
            <w:vAlign w:val="center"/>
          </w:tcPr>
          <w:p w14:paraId="038469C8" w14:textId="77777777" w:rsidR="004A10F0" w:rsidRPr="00262600" w:rsidRDefault="004A10F0" w:rsidP="00CE323E">
            <w:pPr>
              <w:spacing w:line="240" w:lineRule="auto"/>
              <w:rPr>
                <w:rFonts w:ascii="Arial" w:hAnsi="Arial" w:cs="Arial"/>
                <w:sz w:val="15"/>
                <w:szCs w:val="15"/>
              </w:rPr>
            </w:pPr>
          </w:p>
        </w:tc>
        <w:tc>
          <w:tcPr>
            <w:tcW w:w="961" w:type="dxa"/>
            <w:vAlign w:val="center"/>
          </w:tcPr>
          <w:p w14:paraId="09DACB11" w14:textId="77777777" w:rsidR="004A10F0" w:rsidRPr="00262600" w:rsidRDefault="004A10F0" w:rsidP="00CE323E">
            <w:pPr>
              <w:spacing w:line="240" w:lineRule="auto"/>
              <w:rPr>
                <w:rFonts w:ascii="Arial" w:hAnsi="Arial" w:cs="Arial"/>
                <w:sz w:val="15"/>
                <w:szCs w:val="15"/>
              </w:rPr>
            </w:pPr>
          </w:p>
        </w:tc>
        <w:tc>
          <w:tcPr>
            <w:tcW w:w="990" w:type="dxa"/>
            <w:vAlign w:val="center"/>
          </w:tcPr>
          <w:p w14:paraId="29AD0180" w14:textId="77777777" w:rsidR="004A10F0" w:rsidRPr="00262600" w:rsidRDefault="004A10F0" w:rsidP="009873EC">
            <w:pPr>
              <w:spacing w:line="240" w:lineRule="auto"/>
              <w:jc w:val="center"/>
              <w:rPr>
                <w:rFonts w:ascii="Arial" w:hAnsi="Arial" w:cs="Arial"/>
                <w:sz w:val="15"/>
                <w:szCs w:val="15"/>
              </w:rPr>
            </w:pPr>
          </w:p>
        </w:tc>
      </w:tr>
      <w:tr w:rsidR="004A10F0" w:rsidRPr="00262600" w14:paraId="3F41D5C1" w14:textId="77777777" w:rsidTr="004A10F0">
        <w:trPr>
          <w:trHeight w:val="269"/>
          <w:jc w:val="center"/>
        </w:trPr>
        <w:tc>
          <w:tcPr>
            <w:tcW w:w="2748" w:type="dxa"/>
            <w:vAlign w:val="center"/>
          </w:tcPr>
          <w:p w14:paraId="126C8B7F" w14:textId="5EB5BA3C" w:rsidR="004A10F0" w:rsidRPr="004A10F0" w:rsidRDefault="004A10F0" w:rsidP="004A10F0">
            <w:pPr>
              <w:pStyle w:val="ListParagraph"/>
              <w:numPr>
                <w:ilvl w:val="0"/>
                <w:numId w:val="5"/>
              </w:numPr>
              <w:spacing w:line="240" w:lineRule="auto"/>
              <w:ind w:left="785"/>
              <w:rPr>
                <w:rFonts w:ascii="Arial" w:hAnsi="Arial" w:cs="Arial"/>
                <w:sz w:val="15"/>
                <w:szCs w:val="15"/>
              </w:rPr>
            </w:pPr>
            <w:r>
              <w:rPr>
                <w:rFonts w:ascii="Arial" w:hAnsi="Arial" w:cs="Arial"/>
                <w:sz w:val="15"/>
                <w:szCs w:val="15"/>
              </w:rPr>
              <w:t>&gt;56 thn</w:t>
            </w:r>
          </w:p>
        </w:tc>
        <w:tc>
          <w:tcPr>
            <w:tcW w:w="826" w:type="dxa"/>
            <w:vAlign w:val="center"/>
          </w:tcPr>
          <w:p w14:paraId="693053C9" w14:textId="77777777" w:rsidR="004A10F0" w:rsidRPr="00262600" w:rsidRDefault="004A10F0" w:rsidP="00CE323E">
            <w:pPr>
              <w:spacing w:line="240" w:lineRule="auto"/>
              <w:rPr>
                <w:rFonts w:ascii="Arial" w:hAnsi="Arial" w:cs="Arial"/>
                <w:sz w:val="15"/>
                <w:szCs w:val="15"/>
              </w:rPr>
            </w:pPr>
          </w:p>
        </w:tc>
        <w:tc>
          <w:tcPr>
            <w:tcW w:w="1097" w:type="dxa"/>
            <w:vAlign w:val="center"/>
          </w:tcPr>
          <w:p w14:paraId="7E0B3F40" w14:textId="77777777" w:rsidR="004A10F0" w:rsidRPr="00262600" w:rsidRDefault="004A10F0" w:rsidP="00CE323E">
            <w:pPr>
              <w:spacing w:line="240" w:lineRule="auto"/>
              <w:rPr>
                <w:rFonts w:ascii="Arial" w:hAnsi="Arial" w:cs="Arial"/>
                <w:sz w:val="15"/>
                <w:szCs w:val="15"/>
              </w:rPr>
            </w:pPr>
          </w:p>
        </w:tc>
        <w:tc>
          <w:tcPr>
            <w:tcW w:w="824" w:type="dxa"/>
            <w:vAlign w:val="center"/>
          </w:tcPr>
          <w:p w14:paraId="10867669" w14:textId="77777777" w:rsidR="004A10F0" w:rsidRPr="00262600" w:rsidRDefault="004A10F0" w:rsidP="00CE323E">
            <w:pPr>
              <w:spacing w:line="240" w:lineRule="auto"/>
              <w:rPr>
                <w:rFonts w:ascii="Arial" w:hAnsi="Arial" w:cs="Arial"/>
                <w:sz w:val="15"/>
                <w:szCs w:val="15"/>
              </w:rPr>
            </w:pPr>
          </w:p>
        </w:tc>
        <w:tc>
          <w:tcPr>
            <w:tcW w:w="1099" w:type="dxa"/>
            <w:vAlign w:val="center"/>
          </w:tcPr>
          <w:p w14:paraId="11794CE0" w14:textId="77777777" w:rsidR="004A10F0" w:rsidRPr="00262600" w:rsidRDefault="004A10F0" w:rsidP="00CE323E">
            <w:pPr>
              <w:spacing w:line="240" w:lineRule="auto"/>
              <w:rPr>
                <w:rFonts w:ascii="Arial" w:hAnsi="Arial" w:cs="Arial"/>
                <w:sz w:val="15"/>
                <w:szCs w:val="15"/>
              </w:rPr>
            </w:pPr>
          </w:p>
        </w:tc>
        <w:tc>
          <w:tcPr>
            <w:tcW w:w="961" w:type="dxa"/>
            <w:vAlign w:val="center"/>
          </w:tcPr>
          <w:p w14:paraId="7586DFB9" w14:textId="77777777" w:rsidR="004A10F0" w:rsidRPr="00262600" w:rsidRDefault="004A10F0" w:rsidP="00CE323E">
            <w:pPr>
              <w:spacing w:line="240" w:lineRule="auto"/>
              <w:rPr>
                <w:rFonts w:ascii="Arial" w:hAnsi="Arial" w:cs="Arial"/>
                <w:sz w:val="15"/>
                <w:szCs w:val="15"/>
              </w:rPr>
            </w:pPr>
          </w:p>
        </w:tc>
        <w:tc>
          <w:tcPr>
            <w:tcW w:w="990" w:type="dxa"/>
            <w:vAlign w:val="center"/>
          </w:tcPr>
          <w:p w14:paraId="5241BECE" w14:textId="77777777" w:rsidR="004A10F0" w:rsidRPr="00262600" w:rsidRDefault="004A10F0" w:rsidP="009873EC">
            <w:pPr>
              <w:spacing w:line="240" w:lineRule="auto"/>
              <w:jc w:val="center"/>
              <w:rPr>
                <w:rFonts w:ascii="Arial" w:hAnsi="Arial" w:cs="Arial"/>
                <w:sz w:val="15"/>
                <w:szCs w:val="15"/>
              </w:rPr>
            </w:pPr>
          </w:p>
        </w:tc>
      </w:tr>
      <w:tr w:rsidR="00642A2A" w:rsidRPr="00262600" w14:paraId="01759F83" w14:textId="77777777" w:rsidTr="004A10F0">
        <w:trPr>
          <w:trHeight w:val="259"/>
          <w:jc w:val="center"/>
        </w:trPr>
        <w:tc>
          <w:tcPr>
            <w:tcW w:w="2748" w:type="dxa"/>
            <w:vAlign w:val="center"/>
          </w:tcPr>
          <w:p w14:paraId="6C419232" w14:textId="3E66246C" w:rsidR="00642A2A" w:rsidRPr="004A10F0" w:rsidRDefault="00642A2A" w:rsidP="00CE323E">
            <w:pPr>
              <w:spacing w:line="240" w:lineRule="auto"/>
              <w:rPr>
                <w:rFonts w:ascii="Arial" w:hAnsi="Arial" w:cs="Arial"/>
                <w:b/>
                <w:bCs/>
                <w:sz w:val="15"/>
                <w:szCs w:val="15"/>
              </w:rPr>
            </w:pPr>
            <w:r w:rsidRPr="004A10F0">
              <w:rPr>
                <w:rFonts w:ascii="Arial" w:hAnsi="Arial" w:cs="Arial"/>
                <w:b/>
                <w:bCs/>
                <w:sz w:val="15"/>
                <w:szCs w:val="15"/>
              </w:rPr>
              <w:t xml:space="preserve">Tingkat Nyeri </w:t>
            </w:r>
          </w:p>
        </w:tc>
        <w:tc>
          <w:tcPr>
            <w:tcW w:w="826" w:type="dxa"/>
            <w:vAlign w:val="center"/>
          </w:tcPr>
          <w:p w14:paraId="2A926779" w14:textId="77777777" w:rsidR="00642A2A" w:rsidRPr="00262600" w:rsidRDefault="00642A2A" w:rsidP="00CE323E">
            <w:pPr>
              <w:spacing w:line="240" w:lineRule="auto"/>
              <w:rPr>
                <w:rFonts w:ascii="Arial" w:hAnsi="Arial" w:cs="Arial"/>
                <w:sz w:val="15"/>
                <w:szCs w:val="15"/>
              </w:rPr>
            </w:pPr>
          </w:p>
        </w:tc>
        <w:tc>
          <w:tcPr>
            <w:tcW w:w="1097" w:type="dxa"/>
            <w:vAlign w:val="center"/>
          </w:tcPr>
          <w:p w14:paraId="4D986898" w14:textId="77777777" w:rsidR="00642A2A" w:rsidRPr="00262600" w:rsidRDefault="00642A2A" w:rsidP="00CE323E">
            <w:pPr>
              <w:spacing w:line="240" w:lineRule="auto"/>
              <w:rPr>
                <w:rFonts w:ascii="Arial" w:hAnsi="Arial" w:cs="Arial"/>
                <w:sz w:val="15"/>
                <w:szCs w:val="15"/>
              </w:rPr>
            </w:pPr>
          </w:p>
        </w:tc>
        <w:tc>
          <w:tcPr>
            <w:tcW w:w="824" w:type="dxa"/>
            <w:vAlign w:val="center"/>
          </w:tcPr>
          <w:p w14:paraId="6AF16EAD" w14:textId="77777777" w:rsidR="00642A2A" w:rsidRPr="00262600" w:rsidRDefault="00642A2A" w:rsidP="00CE323E">
            <w:pPr>
              <w:spacing w:line="240" w:lineRule="auto"/>
              <w:rPr>
                <w:rFonts w:ascii="Arial" w:hAnsi="Arial" w:cs="Arial"/>
                <w:sz w:val="15"/>
                <w:szCs w:val="15"/>
              </w:rPr>
            </w:pPr>
          </w:p>
        </w:tc>
        <w:tc>
          <w:tcPr>
            <w:tcW w:w="1099" w:type="dxa"/>
            <w:vAlign w:val="center"/>
          </w:tcPr>
          <w:p w14:paraId="4B2FCC6C" w14:textId="77777777" w:rsidR="00642A2A" w:rsidRPr="00262600" w:rsidRDefault="00642A2A" w:rsidP="00CE323E">
            <w:pPr>
              <w:spacing w:line="240" w:lineRule="auto"/>
              <w:rPr>
                <w:rFonts w:ascii="Arial" w:hAnsi="Arial" w:cs="Arial"/>
                <w:sz w:val="15"/>
                <w:szCs w:val="15"/>
              </w:rPr>
            </w:pPr>
          </w:p>
        </w:tc>
        <w:tc>
          <w:tcPr>
            <w:tcW w:w="961" w:type="dxa"/>
            <w:vAlign w:val="center"/>
          </w:tcPr>
          <w:p w14:paraId="03C22288" w14:textId="77777777" w:rsidR="00642A2A" w:rsidRPr="00262600" w:rsidRDefault="00642A2A" w:rsidP="00CE323E">
            <w:pPr>
              <w:spacing w:line="240" w:lineRule="auto"/>
              <w:rPr>
                <w:rFonts w:ascii="Arial" w:hAnsi="Arial" w:cs="Arial"/>
                <w:sz w:val="15"/>
                <w:szCs w:val="15"/>
              </w:rPr>
            </w:pPr>
          </w:p>
        </w:tc>
        <w:tc>
          <w:tcPr>
            <w:tcW w:w="990" w:type="dxa"/>
            <w:vAlign w:val="center"/>
          </w:tcPr>
          <w:p w14:paraId="49B35FF9" w14:textId="77777777" w:rsidR="00642A2A" w:rsidRPr="00262600" w:rsidRDefault="00642A2A" w:rsidP="009873EC">
            <w:pPr>
              <w:spacing w:line="240" w:lineRule="auto"/>
              <w:jc w:val="center"/>
              <w:rPr>
                <w:rFonts w:ascii="Arial" w:hAnsi="Arial" w:cs="Arial"/>
                <w:sz w:val="15"/>
                <w:szCs w:val="15"/>
              </w:rPr>
            </w:pPr>
          </w:p>
        </w:tc>
      </w:tr>
      <w:tr w:rsidR="00642A2A" w:rsidRPr="00262600" w14:paraId="79EC68DF" w14:textId="77777777" w:rsidTr="004A10F0">
        <w:trPr>
          <w:trHeight w:val="254"/>
          <w:jc w:val="center"/>
        </w:trPr>
        <w:tc>
          <w:tcPr>
            <w:tcW w:w="2748" w:type="dxa"/>
            <w:vAlign w:val="center"/>
          </w:tcPr>
          <w:p w14:paraId="18752614"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Dasar</w:t>
            </w:r>
          </w:p>
        </w:tc>
        <w:tc>
          <w:tcPr>
            <w:tcW w:w="826" w:type="dxa"/>
            <w:vAlign w:val="center"/>
          </w:tcPr>
          <w:p w14:paraId="61429DAA"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20</w:t>
            </w:r>
          </w:p>
        </w:tc>
        <w:tc>
          <w:tcPr>
            <w:tcW w:w="1097" w:type="dxa"/>
            <w:vAlign w:val="center"/>
          </w:tcPr>
          <w:p w14:paraId="53A76447"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40,0</w:t>
            </w:r>
          </w:p>
        </w:tc>
        <w:tc>
          <w:tcPr>
            <w:tcW w:w="824" w:type="dxa"/>
            <w:vAlign w:val="center"/>
          </w:tcPr>
          <w:p w14:paraId="57BECDF6"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20</w:t>
            </w:r>
          </w:p>
        </w:tc>
        <w:tc>
          <w:tcPr>
            <w:tcW w:w="1099" w:type="dxa"/>
            <w:vAlign w:val="center"/>
          </w:tcPr>
          <w:p w14:paraId="4DF02BDC"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40,0</w:t>
            </w:r>
          </w:p>
        </w:tc>
        <w:tc>
          <w:tcPr>
            <w:tcW w:w="961" w:type="dxa"/>
            <w:vAlign w:val="center"/>
          </w:tcPr>
          <w:p w14:paraId="11CF7A6E"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40</w:t>
            </w:r>
          </w:p>
        </w:tc>
        <w:tc>
          <w:tcPr>
            <w:tcW w:w="990" w:type="dxa"/>
            <w:vAlign w:val="center"/>
          </w:tcPr>
          <w:p w14:paraId="5F9889D4"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40,0</w:t>
            </w:r>
          </w:p>
        </w:tc>
      </w:tr>
      <w:tr w:rsidR="00642A2A" w:rsidRPr="00262600" w14:paraId="6FE480AB" w14:textId="77777777" w:rsidTr="004A10F0">
        <w:trPr>
          <w:trHeight w:val="254"/>
          <w:jc w:val="center"/>
        </w:trPr>
        <w:tc>
          <w:tcPr>
            <w:tcW w:w="2748" w:type="dxa"/>
            <w:vAlign w:val="center"/>
          </w:tcPr>
          <w:p w14:paraId="7D803190"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Menengah</w:t>
            </w:r>
          </w:p>
        </w:tc>
        <w:tc>
          <w:tcPr>
            <w:tcW w:w="826" w:type="dxa"/>
            <w:vAlign w:val="center"/>
          </w:tcPr>
          <w:p w14:paraId="39FA5993"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27</w:t>
            </w:r>
          </w:p>
        </w:tc>
        <w:tc>
          <w:tcPr>
            <w:tcW w:w="1097" w:type="dxa"/>
            <w:vAlign w:val="center"/>
          </w:tcPr>
          <w:p w14:paraId="544B2468"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54,0</w:t>
            </w:r>
          </w:p>
        </w:tc>
        <w:tc>
          <w:tcPr>
            <w:tcW w:w="824" w:type="dxa"/>
            <w:vAlign w:val="center"/>
          </w:tcPr>
          <w:p w14:paraId="61C098F9"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25</w:t>
            </w:r>
          </w:p>
        </w:tc>
        <w:tc>
          <w:tcPr>
            <w:tcW w:w="1099" w:type="dxa"/>
            <w:vAlign w:val="center"/>
          </w:tcPr>
          <w:p w14:paraId="34B97794"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50,0</w:t>
            </w:r>
          </w:p>
        </w:tc>
        <w:tc>
          <w:tcPr>
            <w:tcW w:w="961" w:type="dxa"/>
            <w:vAlign w:val="center"/>
          </w:tcPr>
          <w:p w14:paraId="4A2D2A8D"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52</w:t>
            </w:r>
          </w:p>
        </w:tc>
        <w:tc>
          <w:tcPr>
            <w:tcW w:w="990" w:type="dxa"/>
            <w:vAlign w:val="center"/>
          </w:tcPr>
          <w:p w14:paraId="41C64F7F"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52,0</w:t>
            </w:r>
          </w:p>
        </w:tc>
      </w:tr>
      <w:tr w:rsidR="00642A2A" w:rsidRPr="00262600" w14:paraId="6C29C276" w14:textId="77777777" w:rsidTr="004A10F0">
        <w:trPr>
          <w:trHeight w:val="254"/>
          <w:jc w:val="center"/>
        </w:trPr>
        <w:tc>
          <w:tcPr>
            <w:tcW w:w="2748" w:type="dxa"/>
            <w:vAlign w:val="center"/>
          </w:tcPr>
          <w:p w14:paraId="2C290F8A"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Tinggi</w:t>
            </w:r>
          </w:p>
        </w:tc>
        <w:tc>
          <w:tcPr>
            <w:tcW w:w="826" w:type="dxa"/>
            <w:vAlign w:val="center"/>
          </w:tcPr>
          <w:p w14:paraId="3E45FEDE"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3</w:t>
            </w:r>
          </w:p>
        </w:tc>
        <w:tc>
          <w:tcPr>
            <w:tcW w:w="1097" w:type="dxa"/>
            <w:vAlign w:val="center"/>
          </w:tcPr>
          <w:p w14:paraId="1E4F6D68"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6,0</w:t>
            </w:r>
          </w:p>
        </w:tc>
        <w:tc>
          <w:tcPr>
            <w:tcW w:w="824" w:type="dxa"/>
            <w:vAlign w:val="center"/>
          </w:tcPr>
          <w:p w14:paraId="6824F1B1"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5</w:t>
            </w:r>
          </w:p>
        </w:tc>
        <w:tc>
          <w:tcPr>
            <w:tcW w:w="1099" w:type="dxa"/>
            <w:vAlign w:val="center"/>
          </w:tcPr>
          <w:p w14:paraId="6C58F501"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10,0</w:t>
            </w:r>
          </w:p>
        </w:tc>
        <w:tc>
          <w:tcPr>
            <w:tcW w:w="961" w:type="dxa"/>
            <w:vAlign w:val="center"/>
          </w:tcPr>
          <w:p w14:paraId="2BBC222C"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8</w:t>
            </w:r>
          </w:p>
        </w:tc>
        <w:tc>
          <w:tcPr>
            <w:tcW w:w="990" w:type="dxa"/>
            <w:vAlign w:val="center"/>
          </w:tcPr>
          <w:p w14:paraId="6B77C0BB"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8,0</w:t>
            </w:r>
          </w:p>
        </w:tc>
      </w:tr>
      <w:tr w:rsidR="00E832F2" w:rsidRPr="00262600" w14:paraId="3CF30ADD" w14:textId="77777777" w:rsidTr="004A10F0">
        <w:trPr>
          <w:trHeight w:val="254"/>
          <w:jc w:val="center"/>
        </w:trPr>
        <w:tc>
          <w:tcPr>
            <w:tcW w:w="2748" w:type="dxa"/>
            <w:vAlign w:val="center"/>
          </w:tcPr>
          <w:p w14:paraId="7B542F3D" w14:textId="77777777" w:rsidR="00E832F2" w:rsidRPr="00262600" w:rsidRDefault="00E832F2" w:rsidP="00642A2A">
            <w:pPr>
              <w:pStyle w:val="ListParagraph"/>
              <w:numPr>
                <w:ilvl w:val="0"/>
                <w:numId w:val="1"/>
              </w:numPr>
              <w:spacing w:after="0" w:line="240" w:lineRule="auto"/>
              <w:rPr>
                <w:rFonts w:ascii="Arial" w:hAnsi="Arial" w:cs="Arial"/>
                <w:sz w:val="15"/>
                <w:szCs w:val="15"/>
              </w:rPr>
            </w:pPr>
          </w:p>
        </w:tc>
        <w:tc>
          <w:tcPr>
            <w:tcW w:w="826" w:type="dxa"/>
            <w:vAlign w:val="center"/>
          </w:tcPr>
          <w:p w14:paraId="67A537BC" w14:textId="77777777" w:rsidR="00E832F2" w:rsidRPr="00262600" w:rsidRDefault="00E832F2" w:rsidP="00CE323E">
            <w:pPr>
              <w:spacing w:line="240" w:lineRule="auto"/>
              <w:rPr>
                <w:rFonts w:ascii="Arial" w:hAnsi="Arial" w:cs="Arial"/>
                <w:sz w:val="15"/>
                <w:szCs w:val="15"/>
              </w:rPr>
            </w:pPr>
          </w:p>
        </w:tc>
        <w:tc>
          <w:tcPr>
            <w:tcW w:w="1097" w:type="dxa"/>
            <w:vAlign w:val="center"/>
          </w:tcPr>
          <w:p w14:paraId="48581BCF" w14:textId="77777777" w:rsidR="00E832F2" w:rsidRPr="00262600" w:rsidRDefault="00E832F2" w:rsidP="00CE323E">
            <w:pPr>
              <w:spacing w:line="240" w:lineRule="auto"/>
              <w:rPr>
                <w:rFonts w:ascii="Arial" w:hAnsi="Arial" w:cs="Arial"/>
                <w:sz w:val="15"/>
                <w:szCs w:val="15"/>
              </w:rPr>
            </w:pPr>
          </w:p>
        </w:tc>
        <w:tc>
          <w:tcPr>
            <w:tcW w:w="824" w:type="dxa"/>
            <w:vAlign w:val="center"/>
          </w:tcPr>
          <w:p w14:paraId="772FBF58" w14:textId="77777777" w:rsidR="00E832F2" w:rsidRPr="00262600" w:rsidRDefault="00E832F2" w:rsidP="00CE323E">
            <w:pPr>
              <w:spacing w:line="240" w:lineRule="auto"/>
              <w:rPr>
                <w:rFonts w:ascii="Arial" w:hAnsi="Arial" w:cs="Arial"/>
                <w:sz w:val="15"/>
                <w:szCs w:val="15"/>
              </w:rPr>
            </w:pPr>
          </w:p>
        </w:tc>
        <w:tc>
          <w:tcPr>
            <w:tcW w:w="1099" w:type="dxa"/>
            <w:vAlign w:val="center"/>
          </w:tcPr>
          <w:p w14:paraId="7DCC896D" w14:textId="77777777" w:rsidR="00E832F2" w:rsidRPr="00262600" w:rsidRDefault="00E832F2" w:rsidP="00CE323E">
            <w:pPr>
              <w:spacing w:line="240" w:lineRule="auto"/>
              <w:rPr>
                <w:rFonts w:ascii="Arial" w:hAnsi="Arial" w:cs="Arial"/>
                <w:sz w:val="15"/>
                <w:szCs w:val="15"/>
              </w:rPr>
            </w:pPr>
          </w:p>
        </w:tc>
        <w:tc>
          <w:tcPr>
            <w:tcW w:w="961" w:type="dxa"/>
            <w:vAlign w:val="center"/>
          </w:tcPr>
          <w:p w14:paraId="2AC1218C" w14:textId="77777777" w:rsidR="00E832F2" w:rsidRPr="00262600" w:rsidRDefault="00E832F2" w:rsidP="00CE323E">
            <w:pPr>
              <w:spacing w:line="240" w:lineRule="auto"/>
              <w:rPr>
                <w:rFonts w:ascii="Arial" w:hAnsi="Arial" w:cs="Arial"/>
                <w:sz w:val="15"/>
                <w:szCs w:val="15"/>
              </w:rPr>
            </w:pPr>
          </w:p>
        </w:tc>
        <w:tc>
          <w:tcPr>
            <w:tcW w:w="990" w:type="dxa"/>
            <w:vAlign w:val="center"/>
          </w:tcPr>
          <w:p w14:paraId="4E30B094" w14:textId="77777777" w:rsidR="00E832F2" w:rsidRPr="00262600" w:rsidRDefault="00E832F2" w:rsidP="009873EC">
            <w:pPr>
              <w:spacing w:line="240" w:lineRule="auto"/>
              <w:jc w:val="center"/>
              <w:rPr>
                <w:rFonts w:ascii="Arial" w:hAnsi="Arial" w:cs="Arial"/>
                <w:sz w:val="15"/>
                <w:szCs w:val="15"/>
              </w:rPr>
            </w:pPr>
          </w:p>
        </w:tc>
      </w:tr>
      <w:tr w:rsidR="00642A2A" w:rsidRPr="00262600" w14:paraId="32B0F55E" w14:textId="77777777" w:rsidTr="004A10F0">
        <w:trPr>
          <w:trHeight w:val="115"/>
          <w:jc w:val="center"/>
        </w:trPr>
        <w:tc>
          <w:tcPr>
            <w:tcW w:w="2748" w:type="dxa"/>
            <w:vAlign w:val="center"/>
          </w:tcPr>
          <w:p w14:paraId="191624E0"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Status Pekerjaan</w:t>
            </w:r>
          </w:p>
        </w:tc>
        <w:tc>
          <w:tcPr>
            <w:tcW w:w="826" w:type="dxa"/>
            <w:vAlign w:val="center"/>
          </w:tcPr>
          <w:p w14:paraId="01917088" w14:textId="77777777" w:rsidR="00642A2A" w:rsidRPr="00262600" w:rsidRDefault="00642A2A" w:rsidP="00CE323E">
            <w:pPr>
              <w:spacing w:line="240" w:lineRule="auto"/>
              <w:rPr>
                <w:rFonts w:ascii="Arial" w:hAnsi="Arial" w:cs="Arial"/>
                <w:sz w:val="15"/>
                <w:szCs w:val="15"/>
              </w:rPr>
            </w:pPr>
          </w:p>
        </w:tc>
        <w:tc>
          <w:tcPr>
            <w:tcW w:w="1097" w:type="dxa"/>
            <w:vAlign w:val="center"/>
          </w:tcPr>
          <w:p w14:paraId="4396CC00" w14:textId="77777777" w:rsidR="00642A2A" w:rsidRPr="00262600" w:rsidRDefault="00642A2A" w:rsidP="00CE323E">
            <w:pPr>
              <w:spacing w:line="240" w:lineRule="auto"/>
              <w:rPr>
                <w:rFonts w:ascii="Arial" w:hAnsi="Arial" w:cs="Arial"/>
                <w:sz w:val="15"/>
                <w:szCs w:val="15"/>
              </w:rPr>
            </w:pPr>
          </w:p>
        </w:tc>
        <w:tc>
          <w:tcPr>
            <w:tcW w:w="824" w:type="dxa"/>
            <w:vAlign w:val="center"/>
          </w:tcPr>
          <w:p w14:paraId="0B1CF77E" w14:textId="77777777" w:rsidR="00642A2A" w:rsidRPr="00262600" w:rsidRDefault="00642A2A" w:rsidP="00CE323E">
            <w:pPr>
              <w:spacing w:line="240" w:lineRule="auto"/>
              <w:rPr>
                <w:rFonts w:ascii="Arial" w:hAnsi="Arial" w:cs="Arial"/>
                <w:sz w:val="15"/>
                <w:szCs w:val="15"/>
              </w:rPr>
            </w:pPr>
          </w:p>
        </w:tc>
        <w:tc>
          <w:tcPr>
            <w:tcW w:w="1099" w:type="dxa"/>
            <w:vAlign w:val="center"/>
          </w:tcPr>
          <w:p w14:paraId="714F5365" w14:textId="77777777" w:rsidR="00642A2A" w:rsidRPr="00262600" w:rsidRDefault="00642A2A" w:rsidP="00CE323E">
            <w:pPr>
              <w:spacing w:line="240" w:lineRule="auto"/>
              <w:rPr>
                <w:rFonts w:ascii="Arial" w:hAnsi="Arial" w:cs="Arial"/>
                <w:sz w:val="15"/>
                <w:szCs w:val="15"/>
              </w:rPr>
            </w:pPr>
          </w:p>
        </w:tc>
        <w:tc>
          <w:tcPr>
            <w:tcW w:w="961" w:type="dxa"/>
            <w:vAlign w:val="center"/>
          </w:tcPr>
          <w:p w14:paraId="0B3F337E" w14:textId="77777777" w:rsidR="00642A2A" w:rsidRPr="00262600" w:rsidRDefault="00642A2A" w:rsidP="00CE323E">
            <w:pPr>
              <w:spacing w:line="240" w:lineRule="auto"/>
              <w:rPr>
                <w:rFonts w:ascii="Arial" w:hAnsi="Arial" w:cs="Arial"/>
                <w:sz w:val="15"/>
                <w:szCs w:val="15"/>
              </w:rPr>
            </w:pPr>
          </w:p>
        </w:tc>
        <w:tc>
          <w:tcPr>
            <w:tcW w:w="990" w:type="dxa"/>
            <w:vAlign w:val="center"/>
          </w:tcPr>
          <w:p w14:paraId="12A72E89" w14:textId="77777777" w:rsidR="00642A2A" w:rsidRPr="00262600" w:rsidRDefault="00642A2A" w:rsidP="009873EC">
            <w:pPr>
              <w:spacing w:line="240" w:lineRule="auto"/>
              <w:jc w:val="center"/>
              <w:rPr>
                <w:rFonts w:ascii="Arial" w:hAnsi="Arial" w:cs="Arial"/>
                <w:sz w:val="15"/>
                <w:szCs w:val="15"/>
              </w:rPr>
            </w:pPr>
          </w:p>
        </w:tc>
      </w:tr>
      <w:tr w:rsidR="00E832F2" w:rsidRPr="00262600" w14:paraId="6760CFBB" w14:textId="77777777" w:rsidTr="004A10F0">
        <w:trPr>
          <w:trHeight w:val="115"/>
          <w:jc w:val="center"/>
        </w:trPr>
        <w:tc>
          <w:tcPr>
            <w:tcW w:w="2748" w:type="dxa"/>
            <w:vAlign w:val="center"/>
          </w:tcPr>
          <w:p w14:paraId="32217534" w14:textId="77777777" w:rsidR="00E832F2" w:rsidRPr="00262600" w:rsidRDefault="00E832F2" w:rsidP="00CE323E">
            <w:pPr>
              <w:spacing w:line="240" w:lineRule="auto"/>
              <w:rPr>
                <w:rFonts w:ascii="Arial" w:hAnsi="Arial" w:cs="Arial"/>
                <w:sz w:val="15"/>
                <w:szCs w:val="15"/>
              </w:rPr>
            </w:pPr>
          </w:p>
        </w:tc>
        <w:tc>
          <w:tcPr>
            <w:tcW w:w="826" w:type="dxa"/>
            <w:vAlign w:val="center"/>
          </w:tcPr>
          <w:p w14:paraId="489A109A" w14:textId="77777777" w:rsidR="00E832F2" w:rsidRPr="00262600" w:rsidRDefault="00E832F2" w:rsidP="00CE323E">
            <w:pPr>
              <w:spacing w:line="240" w:lineRule="auto"/>
              <w:rPr>
                <w:rFonts w:ascii="Arial" w:hAnsi="Arial" w:cs="Arial"/>
                <w:sz w:val="15"/>
                <w:szCs w:val="15"/>
              </w:rPr>
            </w:pPr>
          </w:p>
        </w:tc>
        <w:tc>
          <w:tcPr>
            <w:tcW w:w="1097" w:type="dxa"/>
            <w:vAlign w:val="center"/>
          </w:tcPr>
          <w:p w14:paraId="597BAD13" w14:textId="77777777" w:rsidR="00E832F2" w:rsidRPr="00262600" w:rsidRDefault="00E832F2" w:rsidP="00CE323E">
            <w:pPr>
              <w:spacing w:line="240" w:lineRule="auto"/>
              <w:rPr>
                <w:rFonts w:ascii="Arial" w:hAnsi="Arial" w:cs="Arial"/>
                <w:sz w:val="15"/>
                <w:szCs w:val="15"/>
              </w:rPr>
            </w:pPr>
          </w:p>
        </w:tc>
        <w:tc>
          <w:tcPr>
            <w:tcW w:w="824" w:type="dxa"/>
            <w:vAlign w:val="center"/>
          </w:tcPr>
          <w:p w14:paraId="78AB9687" w14:textId="77777777" w:rsidR="00E832F2" w:rsidRPr="00262600" w:rsidRDefault="00E832F2" w:rsidP="00CE323E">
            <w:pPr>
              <w:spacing w:line="240" w:lineRule="auto"/>
              <w:rPr>
                <w:rFonts w:ascii="Arial" w:hAnsi="Arial" w:cs="Arial"/>
                <w:sz w:val="15"/>
                <w:szCs w:val="15"/>
              </w:rPr>
            </w:pPr>
          </w:p>
        </w:tc>
        <w:tc>
          <w:tcPr>
            <w:tcW w:w="1099" w:type="dxa"/>
            <w:vAlign w:val="center"/>
          </w:tcPr>
          <w:p w14:paraId="69BAB712" w14:textId="77777777" w:rsidR="00E832F2" w:rsidRPr="00262600" w:rsidRDefault="00E832F2" w:rsidP="00CE323E">
            <w:pPr>
              <w:spacing w:line="240" w:lineRule="auto"/>
              <w:rPr>
                <w:rFonts w:ascii="Arial" w:hAnsi="Arial" w:cs="Arial"/>
                <w:sz w:val="15"/>
                <w:szCs w:val="15"/>
              </w:rPr>
            </w:pPr>
          </w:p>
        </w:tc>
        <w:tc>
          <w:tcPr>
            <w:tcW w:w="961" w:type="dxa"/>
            <w:vAlign w:val="center"/>
          </w:tcPr>
          <w:p w14:paraId="3B0E1B76" w14:textId="77777777" w:rsidR="00E832F2" w:rsidRPr="00262600" w:rsidRDefault="00E832F2" w:rsidP="00CE323E">
            <w:pPr>
              <w:spacing w:line="240" w:lineRule="auto"/>
              <w:rPr>
                <w:rFonts w:ascii="Arial" w:hAnsi="Arial" w:cs="Arial"/>
                <w:sz w:val="15"/>
                <w:szCs w:val="15"/>
              </w:rPr>
            </w:pPr>
          </w:p>
        </w:tc>
        <w:tc>
          <w:tcPr>
            <w:tcW w:w="990" w:type="dxa"/>
            <w:vAlign w:val="center"/>
          </w:tcPr>
          <w:p w14:paraId="27404341" w14:textId="77777777" w:rsidR="00E832F2" w:rsidRPr="00262600" w:rsidRDefault="00E832F2" w:rsidP="009873EC">
            <w:pPr>
              <w:spacing w:line="240" w:lineRule="auto"/>
              <w:jc w:val="center"/>
              <w:rPr>
                <w:rFonts w:ascii="Arial" w:hAnsi="Arial" w:cs="Arial"/>
                <w:sz w:val="15"/>
                <w:szCs w:val="15"/>
              </w:rPr>
            </w:pPr>
          </w:p>
        </w:tc>
      </w:tr>
      <w:tr w:rsidR="00642A2A" w:rsidRPr="00262600" w14:paraId="56BC03ED" w14:textId="77777777" w:rsidTr="004A10F0">
        <w:trPr>
          <w:trHeight w:val="239"/>
          <w:jc w:val="center"/>
        </w:trPr>
        <w:tc>
          <w:tcPr>
            <w:tcW w:w="2748" w:type="dxa"/>
            <w:vAlign w:val="center"/>
          </w:tcPr>
          <w:p w14:paraId="49C1E872"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Bekerja</w:t>
            </w:r>
          </w:p>
        </w:tc>
        <w:tc>
          <w:tcPr>
            <w:tcW w:w="826" w:type="dxa"/>
            <w:vAlign w:val="center"/>
          </w:tcPr>
          <w:p w14:paraId="2EFF3A54"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12</w:t>
            </w:r>
          </w:p>
        </w:tc>
        <w:tc>
          <w:tcPr>
            <w:tcW w:w="1097" w:type="dxa"/>
            <w:vAlign w:val="center"/>
          </w:tcPr>
          <w:p w14:paraId="106D64FC"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24,0</w:t>
            </w:r>
          </w:p>
        </w:tc>
        <w:tc>
          <w:tcPr>
            <w:tcW w:w="824" w:type="dxa"/>
            <w:vAlign w:val="center"/>
          </w:tcPr>
          <w:p w14:paraId="4FC7E16D"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17</w:t>
            </w:r>
          </w:p>
        </w:tc>
        <w:tc>
          <w:tcPr>
            <w:tcW w:w="1099" w:type="dxa"/>
            <w:vAlign w:val="center"/>
          </w:tcPr>
          <w:p w14:paraId="421FF02F"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34,0</w:t>
            </w:r>
          </w:p>
        </w:tc>
        <w:tc>
          <w:tcPr>
            <w:tcW w:w="961" w:type="dxa"/>
            <w:vAlign w:val="center"/>
          </w:tcPr>
          <w:p w14:paraId="5E4E0FE4"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29</w:t>
            </w:r>
          </w:p>
        </w:tc>
        <w:tc>
          <w:tcPr>
            <w:tcW w:w="990" w:type="dxa"/>
            <w:vAlign w:val="center"/>
          </w:tcPr>
          <w:p w14:paraId="73C48F57"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29,0</w:t>
            </w:r>
          </w:p>
        </w:tc>
      </w:tr>
      <w:tr w:rsidR="00642A2A" w:rsidRPr="00262600" w14:paraId="1B697524" w14:textId="77777777" w:rsidTr="004A10F0">
        <w:trPr>
          <w:trHeight w:val="102"/>
          <w:jc w:val="center"/>
        </w:trPr>
        <w:tc>
          <w:tcPr>
            <w:tcW w:w="2748" w:type="dxa"/>
            <w:vAlign w:val="center"/>
          </w:tcPr>
          <w:p w14:paraId="05EF76BD" w14:textId="77777777" w:rsidR="00642A2A" w:rsidRPr="00262600" w:rsidRDefault="00642A2A" w:rsidP="00642A2A">
            <w:pPr>
              <w:pStyle w:val="ListParagraph"/>
              <w:numPr>
                <w:ilvl w:val="0"/>
                <w:numId w:val="1"/>
              </w:numPr>
              <w:spacing w:after="0" w:line="240" w:lineRule="auto"/>
              <w:rPr>
                <w:rFonts w:ascii="Arial" w:hAnsi="Arial" w:cs="Arial"/>
                <w:sz w:val="15"/>
                <w:szCs w:val="15"/>
              </w:rPr>
            </w:pPr>
            <w:r w:rsidRPr="00262600">
              <w:rPr>
                <w:rFonts w:ascii="Arial" w:hAnsi="Arial" w:cs="Arial"/>
                <w:sz w:val="15"/>
                <w:szCs w:val="15"/>
              </w:rPr>
              <w:t>Tidak bekerja</w:t>
            </w:r>
          </w:p>
        </w:tc>
        <w:tc>
          <w:tcPr>
            <w:tcW w:w="826" w:type="dxa"/>
            <w:vAlign w:val="center"/>
          </w:tcPr>
          <w:p w14:paraId="4EAAE9C1"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38</w:t>
            </w:r>
          </w:p>
        </w:tc>
        <w:tc>
          <w:tcPr>
            <w:tcW w:w="1097" w:type="dxa"/>
            <w:vAlign w:val="center"/>
          </w:tcPr>
          <w:p w14:paraId="0DD67AB1"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76,0</w:t>
            </w:r>
          </w:p>
        </w:tc>
        <w:tc>
          <w:tcPr>
            <w:tcW w:w="824" w:type="dxa"/>
            <w:vAlign w:val="center"/>
          </w:tcPr>
          <w:p w14:paraId="782D8927"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33</w:t>
            </w:r>
          </w:p>
        </w:tc>
        <w:tc>
          <w:tcPr>
            <w:tcW w:w="1099" w:type="dxa"/>
            <w:vAlign w:val="center"/>
          </w:tcPr>
          <w:p w14:paraId="05F3877F"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66,0</w:t>
            </w:r>
          </w:p>
        </w:tc>
        <w:tc>
          <w:tcPr>
            <w:tcW w:w="961" w:type="dxa"/>
            <w:vAlign w:val="center"/>
          </w:tcPr>
          <w:p w14:paraId="6AA1BD05" w14:textId="77777777" w:rsidR="00642A2A" w:rsidRPr="00262600" w:rsidRDefault="00642A2A" w:rsidP="00CE323E">
            <w:pPr>
              <w:spacing w:line="240" w:lineRule="auto"/>
              <w:rPr>
                <w:rFonts w:ascii="Arial" w:hAnsi="Arial" w:cs="Arial"/>
                <w:sz w:val="15"/>
                <w:szCs w:val="15"/>
              </w:rPr>
            </w:pPr>
            <w:r w:rsidRPr="00262600">
              <w:rPr>
                <w:rFonts w:ascii="Arial" w:hAnsi="Arial" w:cs="Arial"/>
                <w:sz w:val="15"/>
                <w:szCs w:val="15"/>
              </w:rPr>
              <w:t>71</w:t>
            </w:r>
          </w:p>
        </w:tc>
        <w:tc>
          <w:tcPr>
            <w:tcW w:w="990" w:type="dxa"/>
            <w:vAlign w:val="center"/>
          </w:tcPr>
          <w:p w14:paraId="59DD5742" w14:textId="77777777" w:rsidR="00642A2A" w:rsidRPr="00262600" w:rsidRDefault="00642A2A" w:rsidP="009873EC">
            <w:pPr>
              <w:spacing w:line="240" w:lineRule="auto"/>
              <w:jc w:val="center"/>
              <w:rPr>
                <w:rFonts w:ascii="Arial" w:hAnsi="Arial" w:cs="Arial"/>
                <w:sz w:val="15"/>
                <w:szCs w:val="15"/>
              </w:rPr>
            </w:pPr>
            <w:r w:rsidRPr="00262600">
              <w:rPr>
                <w:rFonts w:ascii="Arial" w:hAnsi="Arial" w:cs="Arial"/>
                <w:sz w:val="15"/>
                <w:szCs w:val="15"/>
              </w:rPr>
              <w:t>71,0</w:t>
            </w:r>
          </w:p>
        </w:tc>
      </w:tr>
    </w:tbl>
    <w:p w14:paraId="37BFAAB7" w14:textId="77777777" w:rsidR="00642A2A" w:rsidRPr="00262600" w:rsidRDefault="00642A2A" w:rsidP="00642A2A">
      <w:pPr>
        <w:rPr>
          <w:rFonts w:ascii="Arial" w:eastAsia="Calibri" w:hAnsi="Arial" w:cs="Arial"/>
          <w:sz w:val="15"/>
          <w:szCs w:val="15"/>
        </w:rPr>
      </w:pPr>
    </w:p>
    <w:p w14:paraId="4F04F0A4" w14:textId="77777777" w:rsidR="00642A2A" w:rsidRPr="00262600" w:rsidRDefault="00642A2A" w:rsidP="00642A2A">
      <w:pPr>
        <w:rPr>
          <w:rFonts w:ascii="Arial" w:eastAsia="Calibri" w:hAnsi="Arial" w:cs="Arial"/>
          <w:sz w:val="15"/>
          <w:szCs w:val="15"/>
          <w:lang w:val="id-ID"/>
        </w:rPr>
      </w:pPr>
      <w:r w:rsidRPr="00262600">
        <w:rPr>
          <w:rFonts w:ascii="Arial" w:eastAsia="Calibri" w:hAnsi="Arial" w:cs="Arial"/>
          <w:sz w:val="15"/>
          <w:szCs w:val="15"/>
          <w:lang w:val="id-ID"/>
        </w:rPr>
        <w:t xml:space="preserve">Hasil penelitian tingkat nyeri pada pasien CKD selama 1 bulan antara kelompok kontrol dan intervensi, </w:t>
      </w:r>
      <w:r w:rsidRPr="00262600">
        <w:rPr>
          <w:rFonts w:ascii="Arial" w:eastAsia="Calibri" w:hAnsi="Arial" w:cs="Arial"/>
          <w:sz w:val="15"/>
          <w:szCs w:val="15"/>
        </w:rPr>
        <w:t>dapat dilihat pada Gambar 1.</w:t>
      </w:r>
    </w:p>
    <w:p w14:paraId="0B90AC55" w14:textId="77777777" w:rsidR="00642A2A" w:rsidRPr="00262600" w:rsidRDefault="00642A2A" w:rsidP="00642A2A">
      <w:pPr>
        <w:rPr>
          <w:rFonts w:ascii="Arial" w:eastAsia="Calibri" w:hAnsi="Arial" w:cs="Arial"/>
          <w:sz w:val="15"/>
          <w:szCs w:val="15"/>
          <w:lang w:val="id-ID"/>
        </w:rPr>
      </w:pPr>
      <w:r w:rsidRPr="00262600">
        <w:rPr>
          <w:rFonts w:ascii="Arial" w:eastAsia="Calibri" w:hAnsi="Arial" w:cs="Arial"/>
          <w:noProof/>
          <w:sz w:val="15"/>
          <w:szCs w:val="15"/>
          <w:lang w:val="id-ID"/>
        </w:rPr>
        <w:lastRenderedPageBreak/>
        <w:drawing>
          <wp:inline distT="0" distB="0" distL="0" distR="0" wp14:anchorId="684AFB24" wp14:editId="1F917004">
            <wp:extent cx="5479226" cy="3484995"/>
            <wp:effectExtent l="0" t="0" r="7620" b="127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2FE9CF" w14:textId="77777777" w:rsidR="00642A2A" w:rsidRPr="00262600" w:rsidRDefault="00642A2A" w:rsidP="00642A2A">
      <w:pPr>
        <w:jc w:val="center"/>
        <w:rPr>
          <w:rFonts w:ascii="Arial" w:eastAsia="Calibri" w:hAnsi="Arial" w:cs="Arial"/>
          <w:sz w:val="15"/>
          <w:szCs w:val="15"/>
          <w:lang w:val="id-ID"/>
        </w:rPr>
      </w:pPr>
      <w:r w:rsidRPr="00262600">
        <w:rPr>
          <w:rFonts w:ascii="Arial" w:eastAsia="Calibri" w:hAnsi="Arial" w:cs="Arial"/>
          <w:b/>
          <w:sz w:val="15"/>
          <w:szCs w:val="15"/>
        </w:rPr>
        <w:t xml:space="preserve">Gambar </w:t>
      </w:r>
      <w:r w:rsidRPr="00262600">
        <w:rPr>
          <w:rFonts w:ascii="Arial" w:eastAsia="Calibri" w:hAnsi="Arial" w:cs="Arial"/>
          <w:b/>
          <w:sz w:val="15"/>
          <w:szCs w:val="15"/>
          <w:lang w:val="id-ID"/>
        </w:rPr>
        <w:t>1</w:t>
      </w:r>
      <w:r w:rsidRPr="00262600">
        <w:rPr>
          <w:rFonts w:ascii="Arial" w:eastAsia="Calibri" w:hAnsi="Arial" w:cs="Arial"/>
          <w:b/>
          <w:sz w:val="15"/>
          <w:szCs w:val="15"/>
        </w:rPr>
        <w:t xml:space="preserve"> </w:t>
      </w:r>
      <w:r w:rsidRPr="00262600">
        <w:rPr>
          <w:rFonts w:ascii="Arial" w:eastAsia="Calibri" w:hAnsi="Arial" w:cs="Arial"/>
          <w:sz w:val="15"/>
          <w:szCs w:val="15"/>
          <w:lang w:val="id-ID"/>
        </w:rPr>
        <w:t xml:space="preserve">Tingkat </w:t>
      </w:r>
      <w:r w:rsidRPr="00262600">
        <w:rPr>
          <w:rFonts w:ascii="Arial" w:eastAsia="Calibri" w:hAnsi="Arial" w:cs="Arial"/>
          <w:sz w:val="15"/>
          <w:szCs w:val="15"/>
        </w:rPr>
        <w:t xml:space="preserve">Nyeri Responden Pre tes-Post tes Kelompok Kontrol </w:t>
      </w:r>
      <w:r w:rsidRPr="00262600">
        <w:rPr>
          <w:rFonts w:ascii="Arial" w:eastAsia="Calibri" w:hAnsi="Arial" w:cs="Arial"/>
          <w:sz w:val="15"/>
          <w:szCs w:val="15"/>
          <w:lang w:val="id-ID"/>
        </w:rPr>
        <w:t>dan Kelompok Intervensi</w:t>
      </w:r>
    </w:p>
    <w:p w14:paraId="71297520" w14:textId="77777777" w:rsidR="00642A2A" w:rsidRPr="00262600" w:rsidRDefault="00642A2A" w:rsidP="00642A2A">
      <w:pPr>
        <w:pStyle w:val="Ventura-Content"/>
        <w:rPr>
          <w:rFonts w:ascii="Arial" w:eastAsia="Calibri" w:hAnsi="Arial" w:cs="Arial"/>
          <w:sz w:val="15"/>
          <w:szCs w:val="15"/>
          <w:lang w:val="id-ID"/>
        </w:rPr>
      </w:pPr>
    </w:p>
    <w:p w14:paraId="5E7F3F0A" w14:textId="77777777" w:rsidR="00642A2A" w:rsidRPr="00262600" w:rsidRDefault="00642A2A" w:rsidP="00642A2A">
      <w:pPr>
        <w:pStyle w:val="Ventura-Content"/>
        <w:jc w:val="both"/>
        <w:rPr>
          <w:rFonts w:ascii="Arial" w:eastAsia="Calibri" w:hAnsi="Arial" w:cs="Arial"/>
          <w:sz w:val="15"/>
          <w:szCs w:val="15"/>
        </w:rPr>
      </w:pPr>
      <w:r w:rsidRPr="00262600">
        <w:rPr>
          <w:rFonts w:ascii="Arial" w:eastAsia="Calibri" w:hAnsi="Arial" w:cs="Arial"/>
          <w:sz w:val="15"/>
          <w:szCs w:val="15"/>
          <w:lang w:val="id-ID"/>
        </w:rPr>
        <w:t>Berdasarkan Gambar 1.</w:t>
      </w:r>
      <w:r w:rsidRPr="00262600">
        <w:rPr>
          <w:rFonts w:ascii="Arial" w:eastAsia="Calibri" w:hAnsi="Arial" w:cs="Arial"/>
          <w:sz w:val="15"/>
          <w:szCs w:val="15"/>
        </w:rPr>
        <w:t xml:space="preserve"> </w:t>
      </w:r>
      <w:r w:rsidRPr="00262600">
        <w:rPr>
          <w:rFonts w:ascii="Arial" w:eastAsia="Calibri" w:hAnsi="Arial" w:cs="Arial"/>
          <w:sz w:val="15"/>
          <w:szCs w:val="15"/>
          <w:lang w:val="id-ID"/>
        </w:rPr>
        <w:t>dapat dijelaskan bahwa pada saat pre tes dan post tes I mayoritas responden merasakan nyeri pada tingkat sedang (72%) dan mengalami peningkatan 2% setelah post tes II (74%), sedangkan kelompok intervensi saat pre tes mayoritas tingkat nyeri</w:t>
      </w:r>
      <w:r w:rsidRPr="00262600">
        <w:rPr>
          <w:rFonts w:ascii="Arial" w:eastAsia="Calibri" w:hAnsi="Arial" w:cs="Arial"/>
          <w:sz w:val="15"/>
          <w:szCs w:val="15"/>
        </w:rPr>
        <w:t xml:space="preserve"> sedang (74%). Setelah </w:t>
      </w:r>
      <w:r w:rsidRPr="00262600">
        <w:rPr>
          <w:rFonts w:ascii="Arial" w:eastAsia="Calibri" w:hAnsi="Arial" w:cs="Arial"/>
          <w:sz w:val="15"/>
          <w:szCs w:val="15"/>
          <w:lang w:val="id-ID"/>
        </w:rPr>
        <w:t>post tes I</w:t>
      </w:r>
      <w:r w:rsidRPr="00262600">
        <w:rPr>
          <w:rFonts w:ascii="Arial" w:eastAsia="Calibri" w:hAnsi="Arial" w:cs="Arial"/>
          <w:sz w:val="15"/>
          <w:szCs w:val="15"/>
        </w:rPr>
        <w:t xml:space="preserve">, </w:t>
      </w:r>
      <w:r w:rsidRPr="00262600">
        <w:rPr>
          <w:rFonts w:ascii="Arial" w:eastAsia="Calibri" w:hAnsi="Arial" w:cs="Arial"/>
          <w:sz w:val="15"/>
          <w:szCs w:val="15"/>
          <w:lang w:val="id-ID"/>
        </w:rPr>
        <w:t>mayoritas tingkat</w:t>
      </w:r>
      <w:r w:rsidRPr="00262600">
        <w:rPr>
          <w:rFonts w:ascii="Arial" w:eastAsia="Calibri" w:hAnsi="Arial" w:cs="Arial"/>
          <w:sz w:val="15"/>
          <w:szCs w:val="15"/>
        </w:rPr>
        <w:t xml:space="preserve"> nyeri menjadi ringan (52%)</w:t>
      </w:r>
      <w:r w:rsidRPr="00262600">
        <w:rPr>
          <w:rFonts w:ascii="Arial" w:eastAsia="Calibri" w:hAnsi="Arial" w:cs="Arial"/>
          <w:sz w:val="15"/>
          <w:szCs w:val="15"/>
          <w:lang w:val="id-ID"/>
        </w:rPr>
        <w:t xml:space="preserve"> dan mengalami peningkatan setelah post tes II </w:t>
      </w:r>
      <w:r w:rsidRPr="00262600">
        <w:rPr>
          <w:rFonts w:ascii="Arial" w:eastAsia="Calibri" w:hAnsi="Arial" w:cs="Arial"/>
          <w:sz w:val="15"/>
          <w:szCs w:val="15"/>
        </w:rPr>
        <w:t>(80%)</w:t>
      </w:r>
      <w:r w:rsidRPr="00262600">
        <w:rPr>
          <w:rFonts w:ascii="Arial" w:eastAsia="Calibri" w:hAnsi="Arial" w:cs="Arial"/>
          <w:sz w:val="15"/>
          <w:szCs w:val="15"/>
          <w:lang w:val="id-ID"/>
        </w:rPr>
        <w:t>.</w:t>
      </w:r>
    </w:p>
    <w:p w14:paraId="52A24A8F" w14:textId="77777777" w:rsidR="00642A2A" w:rsidRPr="00262600" w:rsidRDefault="00642A2A" w:rsidP="00642A2A">
      <w:pPr>
        <w:pStyle w:val="Ventura-Content"/>
        <w:rPr>
          <w:rFonts w:ascii="Arial" w:eastAsia="Calibri" w:hAnsi="Arial" w:cs="Arial"/>
          <w:sz w:val="15"/>
          <w:szCs w:val="15"/>
        </w:rPr>
      </w:pPr>
    </w:p>
    <w:p w14:paraId="37132751" w14:textId="77777777" w:rsidR="00642A2A" w:rsidRPr="00262600" w:rsidRDefault="00642A2A" w:rsidP="00642A2A">
      <w:pPr>
        <w:rPr>
          <w:rFonts w:ascii="Arial" w:eastAsia="Calibri" w:hAnsi="Arial" w:cs="Arial"/>
          <w:i/>
          <w:sz w:val="15"/>
          <w:szCs w:val="15"/>
          <w:lang w:val="id-ID"/>
        </w:rPr>
      </w:pPr>
      <w:r w:rsidRPr="00262600">
        <w:rPr>
          <w:rFonts w:ascii="Arial" w:eastAsia="Calibri" w:hAnsi="Arial" w:cs="Arial"/>
          <w:sz w:val="15"/>
          <w:szCs w:val="15"/>
          <w:lang w:val="id-ID"/>
        </w:rPr>
        <w:t xml:space="preserve">Hasil analisis </w:t>
      </w:r>
      <w:r w:rsidRPr="00262600">
        <w:rPr>
          <w:rFonts w:ascii="Arial" w:eastAsia="Calibri" w:hAnsi="Arial" w:cs="Arial"/>
          <w:i/>
          <w:sz w:val="15"/>
          <w:szCs w:val="15"/>
          <w:lang w:val="id-ID"/>
        </w:rPr>
        <w:t>Chi-Square</w:t>
      </w:r>
      <w:r w:rsidRPr="00262600">
        <w:rPr>
          <w:rFonts w:ascii="Arial" w:eastAsia="Calibri" w:hAnsi="Arial" w:cs="Arial"/>
          <w:sz w:val="15"/>
          <w:szCs w:val="15"/>
          <w:lang w:val="id-ID"/>
        </w:rPr>
        <w:t xml:space="preserve">  tingkat nyeri pada pasien CKD selama 1 bulan antara kelompok kontrol dan intervensi dapat dilihat pada Tabel 2.</w:t>
      </w:r>
    </w:p>
    <w:p w14:paraId="74D82052" w14:textId="77777777" w:rsidR="00642A2A" w:rsidRPr="00262600" w:rsidRDefault="00642A2A" w:rsidP="00642A2A">
      <w:pPr>
        <w:rPr>
          <w:rFonts w:ascii="Arial" w:eastAsia="Calibri" w:hAnsi="Arial" w:cs="Arial"/>
          <w:sz w:val="15"/>
          <w:szCs w:val="15"/>
        </w:rPr>
      </w:pPr>
    </w:p>
    <w:p w14:paraId="225CD816" w14:textId="77777777" w:rsidR="00642A2A" w:rsidRPr="00262600" w:rsidRDefault="00642A2A" w:rsidP="00642A2A">
      <w:pPr>
        <w:rPr>
          <w:rFonts w:ascii="Arial" w:hAnsi="Arial" w:cs="Arial"/>
          <w:sz w:val="15"/>
          <w:szCs w:val="15"/>
          <w:lang w:val="id-ID"/>
        </w:rPr>
      </w:pPr>
      <w:r w:rsidRPr="00262600">
        <w:rPr>
          <w:rFonts w:ascii="Arial" w:eastAsia="Calibri" w:hAnsi="Arial" w:cs="Arial"/>
          <w:b/>
          <w:sz w:val="15"/>
          <w:szCs w:val="15"/>
        </w:rPr>
        <w:t>Table 2.</w:t>
      </w:r>
      <w:r w:rsidRPr="00262600">
        <w:rPr>
          <w:rFonts w:ascii="Arial" w:eastAsia="Calibri" w:hAnsi="Arial" w:cs="Arial"/>
          <w:sz w:val="15"/>
          <w:szCs w:val="15"/>
        </w:rPr>
        <w:t xml:space="preserve"> </w:t>
      </w:r>
      <w:r w:rsidRPr="00262600">
        <w:rPr>
          <w:rFonts w:ascii="Arial" w:hAnsi="Arial" w:cs="Arial"/>
          <w:sz w:val="15"/>
          <w:szCs w:val="15"/>
        </w:rPr>
        <w:t>Perbedaan Ting</w:t>
      </w:r>
      <w:r w:rsidRPr="00262600">
        <w:rPr>
          <w:rFonts w:ascii="Arial" w:hAnsi="Arial" w:cs="Arial"/>
          <w:sz w:val="15"/>
          <w:szCs w:val="15"/>
          <w:lang w:val="id-ID"/>
        </w:rPr>
        <w:t>ka</w:t>
      </w:r>
      <w:r w:rsidRPr="00262600">
        <w:rPr>
          <w:rFonts w:ascii="Arial" w:hAnsi="Arial" w:cs="Arial"/>
          <w:sz w:val="15"/>
          <w:szCs w:val="15"/>
        </w:rPr>
        <w:t xml:space="preserve">t Nyeri </w:t>
      </w:r>
      <w:r w:rsidRPr="00262600">
        <w:rPr>
          <w:rFonts w:ascii="Arial" w:hAnsi="Arial" w:cs="Arial"/>
          <w:sz w:val="15"/>
          <w:szCs w:val="15"/>
          <w:lang w:val="id-ID"/>
        </w:rPr>
        <w:t>a</w:t>
      </w:r>
      <w:r w:rsidRPr="00262600">
        <w:rPr>
          <w:rFonts w:ascii="Arial" w:hAnsi="Arial" w:cs="Arial"/>
          <w:sz w:val="15"/>
          <w:szCs w:val="15"/>
        </w:rPr>
        <w:t xml:space="preserve">ntara Kelompok Kontrol </w:t>
      </w:r>
      <w:r w:rsidRPr="00262600">
        <w:rPr>
          <w:rFonts w:ascii="Arial" w:hAnsi="Arial" w:cs="Arial"/>
          <w:sz w:val="15"/>
          <w:szCs w:val="15"/>
          <w:lang w:val="id-ID"/>
        </w:rPr>
        <w:t>d</w:t>
      </w:r>
      <w:r w:rsidRPr="00262600">
        <w:rPr>
          <w:rFonts w:ascii="Arial" w:hAnsi="Arial" w:cs="Arial"/>
          <w:sz w:val="15"/>
          <w:szCs w:val="15"/>
        </w:rPr>
        <w:t>engan Kelompok Intervensi</w:t>
      </w:r>
    </w:p>
    <w:p w14:paraId="5EDA85DA" w14:textId="77777777" w:rsidR="00642A2A" w:rsidRPr="00262600" w:rsidRDefault="00642A2A" w:rsidP="00642A2A">
      <w:pPr>
        <w:rPr>
          <w:rFonts w:ascii="Arial" w:eastAsia="Calibri" w:hAnsi="Arial" w:cs="Arial"/>
          <w:sz w:val="15"/>
          <w:szCs w:val="15"/>
        </w:rPr>
      </w:pPr>
    </w:p>
    <w:tbl>
      <w:tblPr>
        <w:tblStyle w:val="LightShading1"/>
        <w:tblW w:w="8975" w:type="dxa"/>
        <w:jc w:val="center"/>
        <w:tblLayout w:type="fixed"/>
        <w:tblLook w:val="04A0" w:firstRow="1" w:lastRow="0" w:firstColumn="1" w:lastColumn="0" w:noHBand="0" w:noVBand="1"/>
      </w:tblPr>
      <w:tblGrid>
        <w:gridCol w:w="2145"/>
        <w:gridCol w:w="723"/>
        <w:gridCol w:w="2089"/>
        <w:gridCol w:w="723"/>
        <w:gridCol w:w="3084"/>
        <w:gridCol w:w="89"/>
        <w:gridCol w:w="122"/>
      </w:tblGrid>
      <w:tr w:rsidR="00642A2A" w:rsidRPr="00262600" w14:paraId="6EEB77E0" w14:textId="77777777" w:rsidTr="00CE323E">
        <w:trPr>
          <w:gridAfter w:val="2"/>
          <w:cnfStyle w:val="100000000000" w:firstRow="1" w:lastRow="0" w:firstColumn="0" w:lastColumn="0" w:oddVBand="0" w:evenVBand="0" w:oddHBand="0" w:evenHBand="0" w:firstRowFirstColumn="0" w:firstRowLastColumn="0" w:lastRowFirstColumn="0" w:lastRowLastColumn="0"/>
          <w:wAfter w:w="211" w:type="dxa"/>
          <w:trHeight w:val="285"/>
          <w:jc w:val="center"/>
        </w:trPr>
        <w:tc>
          <w:tcPr>
            <w:cnfStyle w:val="001000000000" w:firstRow="0" w:lastRow="0" w:firstColumn="1" w:lastColumn="0" w:oddVBand="0" w:evenVBand="0" w:oddHBand="0" w:evenHBand="0" w:firstRowFirstColumn="0" w:firstRowLastColumn="0" w:lastRowFirstColumn="0" w:lastRowLastColumn="0"/>
            <w:tcW w:w="2868" w:type="dxa"/>
            <w:gridSpan w:val="2"/>
            <w:vMerge w:val="restart"/>
            <w:shd w:val="clear" w:color="auto" w:fill="auto"/>
            <w:vAlign w:val="center"/>
          </w:tcPr>
          <w:p w14:paraId="004DEF70" w14:textId="77777777" w:rsidR="00642A2A" w:rsidRPr="00262600" w:rsidRDefault="00642A2A" w:rsidP="00CE323E">
            <w:pPr>
              <w:autoSpaceDE w:val="0"/>
              <w:autoSpaceDN w:val="0"/>
              <w:adjustRightInd w:val="0"/>
              <w:spacing w:line="240" w:lineRule="auto"/>
              <w:jc w:val="center"/>
              <w:rPr>
                <w:rFonts w:ascii="Arial" w:hAnsi="Arial" w:cs="Arial"/>
                <w:color w:val="auto"/>
                <w:sz w:val="15"/>
                <w:szCs w:val="15"/>
              </w:rPr>
            </w:pPr>
            <w:r w:rsidRPr="00262600">
              <w:rPr>
                <w:rFonts w:ascii="Arial" w:hAnsi="Arial" w:cs="Arial"/>
                <w:color w:val="auto"/>
                <w:sz w:val="15"/>
                <w:szCs w:val="15"/>
              </w:rPr>
              <w:t>Tahap Pengukuran</w:t>
            </w:r>
          </w:p>
        </w:tc>
        <w:tc>
          <w:tcPr>
            <w:tcW w:w="5896" w:type="dxa"/>
            <w:gridSpan w:val="3"/>
            <w:shd w:val="clear" w:color="auto" w:fill="auto"/>
          </w:tcPr>
          <w:p w14:paraId="48E75D1A" w14:textId="77777777" w:rsidR="00642A2A" w:rsidRPr="00262600" w:rsidRDefault="00642A2A" w:rsidP="00CE323E">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5"/>
                <w:szCs w:val="15"/>
              </w:rPr>
            </w:pPr>
            <w:r w:rsidRPr="00262600">
              <w:rPr>
                <w:rFonts w:ascii="Arial" w:hAnsi="Arial" w:cs="Arial"/>
                <w:color w:val="auto"/>
                <w:sz w:val="15"/>
                <w:szCs w:val="15"/>
              </w:rPr>
              <w:t>Perbedaan Kelompok Kontrol dan Kelompok Intervensi</w:t>
            </w:r>
          </w:p>
        </w:tc>
      </w:tr>
      <w:tr w:rsidR="00642A2A" w:rsidRPr="00262600" w14:paraId="7C3C9882" w14:textId="77777777" w:rsidTr="00CE323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868" w:type="dxa"/>
            <w:gridSpan w:val="2"/>
            <w:vMerge/>
            <w:shd w:val="clear" w:color="auto" w:fill="auto"/>
            <w:vAlign w:val="center"/>
          </w:tcPr>
          <w:p w14:paraId="5A62B4E6" w14:textId="77777777" w:rsidR="00642A2A" w:rsidRPr="00262600" w:rsidRDefault="00642A2A" w:rsidP="00CE323E">
            <w:pPr>
              <w:autoSpaceDE w:val="0"/>
              <w:autoSpaceDN w:val="0"/>
              <w:adjustRightInd w:val="0"/>
              <w:spacing w:line="240" w:lineRule="auto"/>
              <w:jc w:val="center"/>
              <w:rPr>
                <w:rFonts w:ascii="Arial" w:hAnsi="Arial" w:cs="Arial"/>
                <w:color w:val="auto"/>
                <w:sz w:val="15"/>
                <w:szCs w:val="15"/>
              </w:rPr>
            </w:pPr>
          </w:p>
        </w:tc>
        <w:tc>
          <w:tcPr>
            <w:tcW w:w="2812" w:type="dxa"/>
            <w:gridSpan w:val="2"/>
            <w:shd w:val="clear" w:color="auto" w:fill="auto"/>
          </w:tcPr>
          <w:p w14:paraId="17C2C462" w14:textId="77777777" w:rsidR="00642A2A" w:rsidRPr="00262600" w:rsidRDefault="00642A2A" w:rsidP="00CE323E">
            <w:pPr>
              <w:autoSpaceDE w:val="0"/>
              <w:autoSpaceDN w:val="0"/>
              <w:adjustRightInd w:val="0"/>
              <w:spacing w:line="240" w:lineRule="auto"/>
              <w:ind w:right="185"/>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rPr>
            </w:pPr>
            <w:r w:rsidRPr="00262600">
              <w:rPr>
                <w:rFonts w:ascii="Arial" w:hAnsi="Arial" w:cs="Arial"/>
                <w:b/>
                <w:sz w:val="15"/>
                <w:szCs w:val="15"/>
              </w:rPr>
              <w:t>n</w:t>
            </w:r>
          </w:p>
        </w:tc>
        <w:tc>
          <w:tcPr>
            <w:tcW w:w="3295" w:type="dxa"/>
            <w:gridSpan w:val="3"/>
            <w:vMerge w:val="restart"/>
            <w:tcBorders>
              <w:top w:val="nil"/>
            </w:tcBorders>
            <w:shd w:val="clear" w:color="auto" w:fill="auto"/>
          </w:tcPr>
          <w:p w14:paraId="25F49B80" w14:textId="77777777" w:rsidR="00642A2A" w:rsidRPr="00262600" w:rsidRDefault="00642A2A" w:rsidP="00CE323E">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5"/>
                <w:szCs w:val="15"/>
              </w:rPr>
            </w:pPr>
            <w:r w:rsidRPr="00262600">
              <w:rPr>
                <w:rFonts w:ascii="Arial" w:hAnsi="Arial" w:cs="Arial"/>
                <w:b/>
                <w:color w:val="auto"/>
                <w:sz w:val="15"/>
                <w:szCs w:val="15"/>
              </w:rPr>
              <w:t>p-</w:t>
            </w:r>
            <w:r w:rsidRPr="00262600">
              <w:rPr>
                <w:rFonts w:ascii="Arial" w:hAnsi="Arial" w:cs="Arial"/>
                <w:b/>
                <w:i/>
                <w:color w:val="auto"/>
                <w:sz w:val="15"/>
                <w:szCs w:val="15"/>
              </w:rPr>
              <w:t>value</w:t>
            </w:r>
            <w:r w:rsidRPr="00262600">
              <w:rPr>
                <w:rFonts w:ascii="Arial" w:hAnsi="Arial" w:cs="Arial"/>
                <w:b/>
                <w:color w:val="auto"/>
                <w:sz w:val="15"/>
                <w:szCs w:val="15"/>
              </w:rPr>
              <w:t xml:space="preserve"> </w:t>
            </w:r>
          </w:p>
          <w:p w14:paraId="33FE444F" w14:textId="77777777" w:rsidR="00642A2A" w:rsidRPr="00262600" w:rsidRDefault="00642A2A" w:rsidP="00CE323E">
            <w:pPr>
              <w:tabs>
                <w:tab w:val="left" w:pos="460"/>
                <w:tab w:val="left" w:pos="1386"/>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r w:rsidRPr="00262600">
              <w:rPr>
                <w:rFonts w:ascii="Arial" w:hAnsi="Arial" w:cs="Arial"/>
                <w:color w:val="auto"/>
                <w:sz w:val="15"/>
                <w:szCs w:val="15"/>
              </w:rPr>
              <w:t>0,967</w:t>
            </w:r>
          </w:p>
          <w:p w14:paraId="3C8F5720" w14:textId="77777777" w:rsidR="00642A2A" w:rsidRPr="00262600" w:rsidRDefault="00642A2A" w:rsidP="00CE323E">
            <w:pPr>
              <w:tabs>
                <w:tab w:val="left" w:pos="460"/>
                <w:tab w:val="left" w:pos="1386"/>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p>
          <w:p w14:paraId="620E4AF4" w14:textId="77777777" w:rsidR="00642A2A" w:rsidRPr="00262600" w:rsidRDefault="00642A2A" w:rsidP="00CE323E">
            <w:pPr>
              <w:tabs>
                <w:tab w:val="left" w:pos="460"/>
                <w:tab w:val="left" w:pos="1386"/>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p>
          <w:p w14:paraId="595E54CC" w14:textId="77777777" w:rsidR="00642A2A" w:rsidRPr="00262600" w:rsidRDefault="00642A2A" w:rsidP="00CE323E">
            <w:pPr>
              <w:tabs>
                <w:tab w:val="left" w:pos="460"/>
                <w:tab w:val="left" w:pos="1386"/>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r w:rsidRPr="00262600">
              <w:rPr>
                <w:rFonts w:ascii="Arial" w:hAnsi="Arial" w:cs="Arial"/>
                <w:color w:val="auto"/>
                <w:sz w:val="15"/>
                <w:szCs w:val="15"/>
              </w:rPr>
              <w:t>0,004</w:t>
            </w:r>
          </w:p>
          <w:p w14:paraId="12E7EE01" w14:textId="77777777" w:rsidR="00642A2A" w:rsidRPr="00262600" w:rsidRDefault="00642A2A" w:rsidP="00CE323E">
            <w:pPr>
              <w:tabs>
                <w:tab w:val="left" w:pos="460"/>
                <w:tab w:val="left" w:pos="1386"/>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p>
          <w:p w14:paraId="66A2524F" w14:textId="77777777" w:rsidR="00642A2A" w:rsidRPr="00262600" w:rsidRDefault="00642A2A" w:rsidP="00CE323E">
            <w:pPr>
              <w:tabs>
                <w:tab w:val="left" w:pos="460"/>
                <w:tab w:val="left" w:pos="1386"/>
              </w:tabs>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p>
        </w:tc>
      </w:tr>
      <w:tr w:rsidR="00642A2A" w:rsidRPr="00262600" w14:paraId="7C048363" w14:textId="77777777" w:rsidTr="00CE323E">
        <w:trPr>
          <w:trHeight w:val="300"/>
          <w:jc w:val="center"/>
        </w:trPr>
        <w:tc>
          <w:tcPr>
            <w:cnfStyle w:val="001000000000" w:firstRow="0" w:lastRow="0" w:firstColumn="1" w:lastColumn="0" w:oddVBand="0" w:evenVBand="0" w:oddHBand="0" w:evenHBand="0" w:firstRowFirstColumn="0" w:firstRowLastColumn="0" w:lastRowFirstColumn="0" w:lastRowLastColumn="0"/>
            <w:tcW w:w="2868" w:type="dxa"/>
            <w:gridSpan w:val="2"/>
            <w:shd w:val="clear" w:color="auto" w:fill="auto"/>
          </w:tcPr>
          <w:p w14:paraId="3BB39E13" w14:textId="77777777" w:rsidR="00642A2A" w:rsidRPr="00262600" w:rsidRDefault="00642A2A" w:rsidP="00CE323E">
            <w:pPr>
              <w:autoSpaceDE w:val="0"/>
              <w:autoSpaceDN w:val="0"/>
              <w:adjustRightInd w:val="0"/>
              <w:spacing w:line="240" w:lineRule="auto"/>
              <w:rPr>
                <w:rFonts w:ascii="Arial" w:hAnsi="Arial" w:cs="Arial"/>
                <w:b w:val="0"/>
                <w:color w:val="auto"/>
                <w:sz w:val="15"/>
                <w:szCs w:val="15"/>
              </w:rPr>
            </w:pPr>
            <w:r w:rsidRPr="00262600">
              <w:rPr>
                <w:rFonts w:ascii="Arial" w:hAnsi="Arial" w:cs="Arial"/>
                <w:b w:val="0"/>
                <w:color w:val="auto"/>
                <w:sz w:val="15"/>
                <w:szCs w:val="15"/>
              </w:rPr>
              <w:t>Pre tes (minggu 0)</w:t>
            </w:r>
          </w:p>
          <w:p w14:paraId="74C419A3" w14:textId="77777777" w:rsidR="00642A2A" w:rsidRPr="00262600" w:rsidRDefault="00642A2A" w:rsidP="00CE323E">
            <w:pPr>
              <w:autoSpaceDE w:val="0"/>
              <w:autoSpaceDN w:val="0"/>
              <w:adjustRightInd w:val="0"/>
              <w:spacing w:line="240" w:lineRule="auto"/>
              <w:ind w:left="342"/>
              <w:rPr>
                <w:rFonts w:ascii="Arial" w:hAnsi="Arial" w:cs="Arial"/>
                <w:b w:val="0"/>
                <w:color w:val="auto"/>
                <w:sz w:val="15"/>
                <w:szCs w:val="15"/>
              </w:rPr>
            </w:pPr>
            <w:r w:rsidRPr="00262600">
              <w:rPr>
                <w:rFonts w:ascii="Arial" w:hAnsi="Arial" w:cs="Arial"/>
                <w:b w:val="0"/>
                <w:color w:val="auto"/>
                <w:sz w:val="15"/>
                <w:szCs w:val="15"/>
              </w:rPr>
              <w:t>Kontrol</w:t>
            </w:r>
          </w:p>
          <w:p w14:paraId="22188125" w14:textId="77777777" w:rsidR="00642A2A" w:rsidRPr="00262600" w:rsidRDefault="00642A2A" w:rsidP="00CE323E">
            <w:pPr>
              <w:autoSpaceDE w:val="0"/>
              <w:autoSpaceDN w:val="0"/>
              <w:adjustRightInd w:val="0"/>
              <w:spacing w:line="240" w:lineRule="auto"/>
              <w:ind w:left="342"/>
              <w:rPr>
                <w:rFonts w:ascii="Arial" w:hAnsi="Arial" w:cs="Arial"/>
                <w:b w:val="0"/>
                <w:color w:val="auto"/>
                <w:sz w:val="15"/>
                <w:szCs w:val="15"/>
              </w:rPr>
            </w:pPr>
            <w:r w:rsidRPr="00262600">
              <w:rPr>
                <w:rFonts w:ascii="Arial" w:hAnsi="Arial" w:cs="Arial"/>
                <w:b w:val="0"/>
                <w:color w:val="auto"/>
                <w:sz w:val="15"/>
                <w:szCs w:val="15"/>
              </w:rPr>
              <w:t>Intervensi</w:t>
            </w:r>
          </w:p>
        </w:tc>
        <w:tc>
          <w:tcPr>
            <w:tcW w:w="2812" w:type="dxa"/>
            <w:gridSpan w:val="2"/>
            <w:shd w:val="clear" w:color="auto" w:fill="auto"/>
          </w:tcPr>
          <w:p w14:paraId="211F36E5" w14:textId="77777777" w:rsidR="00642A2A" w:rsidRPr="00262600" w:rsidRDefault="00642A2A" w:rsidP="00CE323E">
            <w:pPr>
              <w:tabs>
                <w:tab w:val="left" w:pos="1868"/>
              </w:tabs>
              <w:autoSpaceDE w:val="0"/>
              <w:autoSpaceDN w:val="0"/>
              <w:adjustRightInd w:val="0"/>
              <w:spacing w:line="240" w:lineRule="auto"/>
              <w:ind w:left="-141"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
          <w:p w14:paraId="4589A97C" w14:textId="77777777" w:rsidR="00642A2A" w:rsidRPr="00262600" w:rsidRDefault="00642A2A" w:rsidP="00CE323E">
            <w:pPr>
              <w:tabs>
                <w:tab w:val="left" w:pos="1868"/>
              </w:tabs>
              <w:autoSpaceDE w:val="0"/>
              <w:autoSpaceDN w:val="0"/>
              <w:adjustRightInd w:val="0"/>
              <w:spacing w:line="240" w:lineRule="auto"/>
              <w:ind w:left="-141"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62600">
              <w:rPr>
                <w:rFonts w:ascii="Arial" w:hAnsi="Arial" w:cs="Arial"/>
                <w:sz w:val="15"/>
                <w:szCs w:val="15"/>
              </w:rPr>
              <w:t>50</w:t>
            </w:r>
          </w:p>
          <w:p w14:paraId="4D37E006" w14:textId="77777777" w:rsidR="00642A2A" w:rsidRPr="00262600" w:rsidRDefault="00642A2A" w:rsidP="00CE323E">
            <w:pPr>
              <w:tabs>
                <w:tab w:val="left" w:pos="1868"/>
              </w:tabs>
              <w:autoSpaceDE w:val="0"/>
              <w:autoSpaceDN w:val="0"/>
              <w:adjustRightInd w:val="0"/>
              <w:spacing w:line="240" w:lineRule="auto"/>
              <w:ind w:left="-141"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62600">
              <w:rPr>
                <w:rFonts w:ascii="Arial" w:hAnsi="Arial" w:cs="Arial"/>
                <w:sz w:val="15"/>
                <w:szCs w:val="15"/>
              </w:rPr>
              <w:t>50</w:t>
            </w:r>
          </w:p>
        </w:tc>
        <w:tc>
          <w:tcPr>
            <w:tcW w:w="3295" w:type="dxa"/>
            <w:gridSpan w:val="3"/>
            <w:vMerge/>
            <w:shd w:val="clear" w:color="auto" w:fill="auto"/>
            <w:vAlign w:val="center"/>
          </w:tcPr>
          <w:p w14:paraId="739A282F" w14:textId="77777777" w:rsidR="00642A2A" w:rsidRPr="00262600" w:rsidRDefault="00642A2A" w:rsidP="00CE323E">
            <w:pPr>
              <w:tabs>
                <w:tab w:val="left" w:pos="1868"/>
              </w:tabs>
              <w:autoSpaceDE w:val="0"/>
              <w:autoSpaceDN w:val="0"/>
              <w:adjustRightInd w:val="0"/>
              <w:spacing w:line="240" w:lineRule="auto"/>
              <w:ind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5"/>
                <w:szCs w:val="15"/>
              </w:rPr>
            </w:pPr>
          </w:p>
        </w:tc>
      </w:tr>
      <w:tr w:rsidR="00642A2A" w:rsidRPr="00262600" w14:paraId="2F146C2A" w14:textId="77777777" w:rsidTr="00CE323E">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2868" w:type="dxa"/>
            <w:gridSpan w:val="2"/>
            <w:shd w:val="clear" w:color="auto" w:fill="auto"/>
          </w:tcPr>
          <w:p w14:paraId="543177F5" w14:textId="77777777" w:rsidR="00642A2A" w:rsidRPr="00262600" w:rsidRDefault="00642A2A" w:rsidP="00CE323E">
            <w:pPr>
              <w:autoSpaceDE w:val="0"/>
              <w:autoSpaceDN w:val="0"/>
              <w:adjustRightInd w:val="0"/>
              <w:spacing w:line="240" w:lineRule="auto"/>
              <w:ind w:right="60"/>
              <w:rPr>
                <w:rFonts w:ascii="Arial" w:hAnsi="Arial" w:cs="Arial"/>
                <w:b w:val="0"/>
                <w:color w:val="auto"/>
                <w:sz w:val="15"/>
                <w:szCs w:val="15"/>
              </w:rPr>
            </w:pPr>
            <w:r w:rsidRPr="00262600">
              <w:rPr>
                <w:rFonts w:ascii="Arial" w:hAnsi="Arial" w:cs="Arial"/>
                <w:b w:val="0"/>
                <w:color w:val="auto"/>
                <w:sz w:val="15"/>
                <w:szCs w:val="15"/>
              </w:rPr>
              <w:t>Post tes I (minggu 2)</w:t>
            </w:r>
          </w:p>
          <w:p w14:paraId="08D3C9C0" w14:textId="77777777" w:rsidR="00642A2A" w:rsidRPr="00262600" w:rsidRDefault="00642A2A" w:rsidP="00CE323E">
            <w:pPr>
              <w:autoSpaceDE w:val="0"/>
              <w:autoSpaceDN w:val="0"/>
              <w:adjustRightInd w:val="0"/>
              <w:spacing w:line="240" w:lineRule="auto"/>
              <w:ind w:left="342"/>
              <w:rPr>
                <w:rFonts w:ascii="Arial" w:hAnsi="Arial" w:cs="Arial"/>
                <w:b w:val="0"/>
                <w:color w:val="auto"/>
                <w:sz w:val="15"/>
                <w:szCs w:val="15"/>
              </w:rPr>
            </w:pPr>
            <w:r w:rsidRPr="00262600">
              <w:rPr>
                <w:rFonts w:ascii="Arial" w:hAnsi="Arial" w:cs="Arial"/>
                <w:b w:val="0"/>
                <w:color w:val="auto"/>
                <w:sz w:val="15"/>
                <w:szCs w:val="15"/>
              </w:rPr>
              <w:t>Kontrol</w:t>
            </w:r>
          </w:p>
          <w:p w14:paraId="3FEF72C3" w14:textId="77777777" w:rsidR="00642A2A" w:rsidRPr="00262600" w:rsidRDefault="00642A2A" w:rsidP="00CE323E">
            <w:pPr>
              <w:autoSpaceDE w:val="0"/>
              <w:autoSpaceDN w:val="0"/>
              <w:adjustRightInd w:val="0"/>
              <w:spacing w:line="240" w:lineRule="auto"/>
              <w:ind w:left="342" w:right="60"/>
              <w:rPr>
                <w:rFonts w:ascii="Arial" w:hAnsi="Arial" w:cs="Arial"/>
                <w:b w:val="0"/>
                <w:color w:val="auto"/>
                <w:sz w:val="15"/>
                <w:szCs w:val="15"/>
              </w:rPr>
            </w:pPr>
            <w:r w:rsidRPr="00262600">
              <w:rPr>
                <w:rFonts w:ascii="Arial" w:hAnsi="Arial" w:cs="Arial"/>
                <w:b w:val="0"/>
                <w:color w:val="auto"/>
                <w:sz w:val="15"/>
                <w:szCs w:val="15"/>
              </w:rPr>
              <w:t>Intervensi</w:t>
            </w:r>
          </w:p>
        </w:tc>
        <w:tc>
          <w:tcPr>
            <w:tcW w:w="2812" w:type="dxa"/>
            <w:gridSpan w:val="2"/>
            <w:shd w:val="clear" w:color="auto" w:fill="auto"/>
          </w:tcPr>
          <w:p w14:paraId="60127C87" w14:textId="77777777" w:rsidR="00642A2A" w:rsidRPr="00262600" w:rsidRDefault="00642A2A" w:rsidP="00CE323E">
            <w:pPr>
              <w:tabs>
                <w:tab w:val="left" w:pos="1868"/>
              </w:tabs>
              <w:autoSpaceDE w:val="0"/>
              <w:autoSpaceDN w:val="0"/>
              <w:adjustRightInd w:val="0"/>
              <w:spacing w:line="240" w:lineRule="auto"/>
              <w:ind w:left="-141"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p w14:paraId="40403124" w14:textId="77777777" w:rsidR="00642A2A" w:rsidRPr="00262600" w:rsidRDefault="00642A2A" w:rsidP="00CE323E">
            <w:pPr>
              <w:tabs>
                <w:tab w:val="left" w:pos="1868"/>
              </w:tabs>
              <w:autoSpaceDE w:val="0"/>
              <w:autoSpaceDN w:val="0"/>
              <w:adjustRightInd w:val="0"/>
              <w:spacing w:line="240" w:lineRule="auto"/>
              <w:ind w:left="-141"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62600">
              <w:rPr>
                <w:rFonts w:ascii="Arial" w:hAnsi="Arial" w:cs="Arial"/>
                <w:sz w:val="15"/>
                <w:szCs w:val="15"/>
              </w:rPr>
              <w:t>50</w:t>
            </w:r>
          </w:p>
          <w:p w14:paraId="79AA13B5" w14:textId="77777777" w:rsidR="00642A2A" w:rsidRPr="00262600" w:rsidRDefault="00642A2A" w:rsidP="00CE323E">
            <w:pPr>
              <w:tabs>
                <w:tab w:val="left" w:pos="1868"/>
              </w:tabs>
              <w:autoSpaceDE w:val="0"/>
              <w:autoSpaceDN w:val="0"/>
              <w:adjustRightInd w:val="0"/>
              <w:spacing w:line="240" w:lineRule="auto"/>
              <w:ind w:left="-141"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62600">
              <w:rPr>
                <w:rFonts w:ascii="Arial" w:hAnsi="Arial" w:cs="Arial"/>
                <w:sz w:val="15"/>
                <w:szCs w:val="15"/>
              </w:rPr>
              <w:t>50</w:t>
            </w:r>
          </w:p>
        </w:tc>
        <w:tc>
          <w:tcPr>
            <w:tcW w:w="3295" w:type="dxa"/>
            <w:gridSpan w:val="3"/>
            <w:vMerge/>
            <w:shd w:val="clear" w:color="auto" w:fill="auto"/>
          </w:tcPr>
          <w:p w14:paraId="0CC2FA99" w14:textId="77777777" w:rsidR="00642A2A" w:rsidRPr="00262600" w:rsidRDefault="00642A2A" w:rsidP="00CE323E">
            <w:pPr>
              <w:tabs>
                <w:tab w:val="left" w:pos="1868"/>
              </w:tabs>
              <w:autoSpaceDE w:val="0"/>
              <w:autoSpaceDN w:val="0"/>
              <w:adjustRightInd w:val="0"/>
              <w:spacing w:line="240" w:lineRule="auto"/>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5"/>
                <w:szCs w:val="15"/>
              </w:rPr>
            </w:pPr>
          </w:p>
        </w:tc>
      </w:tr>
      <w:tr w:rsidR="00642A2A" w:rsidRPr="00262600" w14:paraId="5AD31354" w14:textId="77777777" w:rsidTr="00CE323E">
        <w:trPr>
          <w:gridAfter w:val="1"/>
          <w:wAfter w:w="122" w:type="dxa"/>
          <w:trHeight w:val="319"/>
          <w:jc w:val="center"/>
        </w:trPr>
        <w:tc>
          <w:tcPr>
            <w:cnfStyle w:val="001000000000" w:firstRow="0" w:lastRow="0" w:firstColumn="1" w:lastColumn="0" w:oddVBand="0" w:evenVBand="0" w:oddHBand="0" w:evenHBand="0" w:firstRowFirstColumn="0" w:firstRowLastColumn="0" w:lastRowFirstColumn="0" w:lastRowLastColumn="0"/>
            <w:tcW w:w="2145" w:type="dxa"/>
            <w:shd w:val="clear" w:color="auto" w:fill="auto"/>
          </w:tcPr>
          <w:p w14:paraId="3D866405" w14:textId="77777777" w:rsidR="00642A2A" w:rsidRPr="00262600" w:rsidRDefault="00642A2A" w:rsidP="00CE323E">
            <w:pPr>
              <w:autoSpaceDE w:val="0"/>
              <w:autoSpaceDN w:val="0"/>
              <w:adjustRightInd w:val="0"/>
              <w:spacing w:line="240" w:lineRule="auto"/>
              <w:ind w:right="60"/>
              <w:rPr>
                <w:rFonts w:ascii="Arial" w:hAnsi="Arial" w:cs="Arial"/>
                <w:b w:val="0"/>
                <w:color w:val="auto"/>
                <w:sz w:val="15"/>
                <w:szCs w:val="15"/>
              </w:rPr>
            </w:pPr>
            <w:r w:rsidRPr="00262600">
              <w:rPr>
                <w:rFonts w:ascii="Arial" w:hAnsi="Arial" w:cs="Arial"/>
                <w:b w:val="0"/>
                <w:color w:val="auto"/>
                <w:sz w:val="15"/>
                <w:szCs w:val="15"/>
              </w:rPr>
              <w:t>Post tes II (minggu 4)</w:t>
            </w:r>
          </w:p>
          <w:p w14:paraId="67B7E8B5" w14:textId="77777777" w:rsidR="00642A2A" w:rsidRPr="00262600" w:rsidRDefault="00642A2A" w:rsidP="00CE323E">
            <w:pPr>
              <w:autoSpaceDE w:val="0"/>
              <w:autoSpaceDN w:val="0"/>
              <w:adjustRightInd w:val="0"/>
              <w:spacing w:line="240" w:lineRule="auto"/>
              <w:ind w:left="342"/>
              <w:rPr>
                <w:rFonts w:ascii="Arial" w:hAnsi="Arial" w:cs="Arial"/>
                <w:b w:val="0"/>
                <w:color w:val="auto"/>
                <w:sz w:val="15"/>
                <w:szCs w:val="15"/>
              </w:rPr>
            </w:pPr>
            <w:r w:rsidRPr="00262600">
              <w:rPr>
                <w:rFonts w:ascii="Arial" w:hAnsi="Arial" w:cs="Arial"/>
                <w:b w:val="0"/>
                <w:color w:val="auto"/>
                <w:sz w:val="15"/>
                <w:szCs w:val="15"/>
              </w:rPr>
              <w:t>Kontrol</w:t>
            </w:r>
          </w:p>
          <w:p w14:paraId="1567603E" w14:textId="77777777" w:rsidR="00642A2A" w:rsidRPr="00262600" w:rsidRDefault="00642A2A" w:rsidP="00CE323E">
            <w:pPr>
              <w:autoSpaceDE w:val="0"/>
              <w:autoSpaceDN w:val="0"/>
              <w:adjustRightInd w:val="0"/>
              <w:spacing w:line="240" w:lineRule="auto"/>
              <w:ind w:left="342" w:right="60"/>
              <w:rPr>
                <w:rFonts w:ascii="Arial" w:hAnsi="Arial" w:cs="Arial"/>
                <w:b w:val="0"/>
                <w:color w:val="auto"/>
                <w:sz w:val="15"/>
                <w:szCs w:val="15"/>
              </w:rPr>
            </w:pPr>
            <w:r w:rsidRPr="00262600">
              <w:rPr>
                <w:rFonts w:ascii="Arial" w:hAnsi="Arial" w:cs="Arial"/>
                <w:b w:val="0"/>
                <w:color w:val="auto"/>
                <w:sz w:val="15"/>
                <w:szCs w:val="15"/>
              </w:rPr>
              <w:t>Intervensi</w:t>
            </w:r>
          </w:p>
        </w:tc>
        <w:tc>
          <w:tcPr>
            <w:tcW w:w="2812" w:type="dxa"/>
            <w:gridSpan w:val="2"/>
            <w:shd w:val="clear" w:color="auto" w:fill="auto"/>
          </w:tcPr>
          <w:p w14:paraId="39E3E0FF" w14:textId="77777777" w:rsidR="00642A2A" w:rsidRPr="00262600" w:rsidRDefault="00642A2A" w:rsidP="00CE323E">
            <w:pPr>
              <w:tabs>
                <w:tab w:val="left" w:pos="1868"/>
              </w:tabs>
              <w:autoSpaceDE w:val="0"/>
              <w:autoSpaceDN w:val="0"/>
              <w:adjustRightInd w:val="0"/>
              <w:spacing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
          <w:p w14:paraId="763B727F" w14:textId="77777777" w:rsidR="00642A2A" w:rsidRPr="00262600" w:rsidRDefault="00642A2A" w:rsidP="00CE323E">
            <w:pPr>
              <w:tabs>
                <w:tab w:val="left" w:pos="1868"/>
              </w:tabs>
              <w:autoSpaceDE w:val="0"/>
              <w:autoSpaceDN w:val="0"/>
              <w:adjustRightInd w:val="0"/>
              <w:spacing w:line="240" w:lineRule="auto"/>
              <w:ind w:left="299" w:right="-963"/>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62600">
              <w:rPr>
                <w:rFonts w:ascii="Arial" w:hAnsi="Arial" w:cs="Arial"/>
                <w:sz w:val="15"/>
                <w:szCs w:val="15"/>
              </w:rPr>
              <w:t>50</w:t>
            </w:r>
          </w:p>
          <w:p w14:paraId="61A46680" w14:textId="77777777" w:rsidR="00642A2A" w:rsidRPr="00262600" w:rsidRDefault="00642A2A" w:rsidP="00CE323E">
            <w:pPr>
              <w:tabs>
                <w:tab w:val="left" w:pos="1868"/>
              </w:tabs>
              <w:autoSpaceDE w:val="0"/>
              <w:autoSpaceDN w:val="0"/>
              <w:adjustRightInd w:val="0"/>
              <w:spacing w:line="240" w:lineRule="auto"/>
              <w:ind w:left="299" w:right="-963"/>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62600">
              <w:rPr>
                <w:rFonts w:ascii="Arial" w:hAnsi="Arial" w:cs="Arial"/>
                <w:sz w:val="15"/>
                <w:szCs w:val="15"/>
              </w:rPr>
              <w:t>50</w:t>
            </w:r>
          </w:p>
        </w:tc>
        <w:tc>
          <w:tcPr>
            <w:tcW w:w="3896" w:type="dxa"/>
            <w:gridSpan w:val="3"/>
            <w:shd w:val="clear" w:color="auto" w:fill="auto"/>
          </w:tcPr>
          <w:p w14:paraId="7AFD19C8" w14:textId="77777777" w:rsidR="00642A2A" w:rsidRPr="00262600" w:rsidRDefault="00642A2A" w:rsidP="00CE323E">
            <w:pPr>
              <w:tabs>
                <w:tab w:val="left" w:pos="1868"/>
              </w:tabs>
              <w:autoSpaceDE w:val="0"/>
              <w:autoSpaceDN w:val="0"/>
              <w:adjustRightInd w:val="0"/>
              <w:spacing w:line="240" w:lineRule="auto"/>
              <w:ind w:left="953"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5"/>
                <w:szCs w:val="15"/>
              </w:rPr>
            </w:pPr>
            <w:r w:rsidRPr="00262600">
              <w:rPr>
                <w:rFonts w:ascii="Arial" w:hAnsi="Arial" w:cs="Arial"/>
                <w:color w:val="auto"/>
                <w:sz w:val="15"/>
                <w:szCs w:val="15"/>
              </w:rPr>
              <w:t>0,001</w:t>
            </w:r>
          </w:p>
        </w:tc>
      </w:tr>
    </w:tbl>
    <w:p w14:paraId="6E995927" w14:textId="77777777" w:rsidR="00642A2A" w:rsidRPr="00262600" w:rsidRDefault="00642A2A" w:rsidP="00642A2A">
      <w:pPr>
        <w:rPr>
          <w:rFonts w:ascii="Arial" w:eastAsia="Calibri" w:hAnsi="Arial" w:cs="Arial"/>
          <w:sz w:val="15"/>
          <w:szCs w:val="15"/>
        </w:rPr>
      </w:pPr>
    </w:p>
    <w:p w14:paraId="0BFE0CA1" w14:textId="77777777" w:rsidR="00642A2A" w:rsidRPr="00262600" w:rsidRDefault="00642A2A" w:rsidP="00642A2A">
      <w:pPr>
        <w:ind w:firstLine="720"/>
        <w:jc w:val="both"/>
        <w:rPr>
          <w:rFonts w:ascii="Arial" w:eastAsia="Calibri" w:hAnsi="Arial" w:cs="Arial"/>
          <w:sz w:val="15"/>
          <w:szCs w:val="15"/>
          <w:lang w:val="id-ID"/>
        </w:rPr>
      </w:pPr>
      <w:r w:rsidRPr="00262600">
        <w:rPr>
          <w:rFonts w:ascii="Arial" w:eastAsia="Calibri" w:hAnsi="Arial" w:cs="Arial"/>
          <w:sz w:val="15"/>
          <w:szCs w:val="15"/>
          <w:lang w:val="id-ID"/>
        </w:rPr>
        <w:t xml:space="preserve">Hasil analisis Tabel. 2 dapat dijelaskan bahwa, pada responden yang merasakan nyeri saat pre tes tidak mengalami perbedaan antara kelompok kontrol dan kelompok intervensi dengan hasil uji </w:t>
      </w:r>
      <w:r w:rsidRPr="00262600">
        <w:rPr>
          <w:rFonts w:ascii="Arial" w:eastAsia="Calibri" w:hAnsi="Arial" w:cs="Arial"/>
          <w:i/>
          <w:sz w:val="15"/>
          <w:szCs w:val="15"/>
          <w:lang w:val="id-ID"/>
        </w:rPr>
        <w:t>chi square</w:t>
      </w:r>
      <w:r w:rsidRPr="00262600">
        <w:rPr>
          <w:rFonts w:ascii="Arial" w:eastAsia="Calibri" w:hAnsi="Arial" w:cs="Arial"/>
          <w:sz w:val="15"/>
          <w:szCs w:val="15"/>
          <w:lang w:val="id-ID"/>
        </w:rPr>
        <w:t xml:space="preserve"> </w:t>
      </w:r>
      <w:r w:rsidRPr="00262600">
        <w:rPr>
          <w:rFonts w:ascii="Arial" w:eastAsia="Calibri" w:hAnsi="Arial" w:cs="Arial"/>
          <w:sz w:val="15"/>
          <w:szCs w:val="15"/>
        </w:rPr>
        <w:t>menunjukkan tidak signifikan (p&gt;0,05)</w:t>
      </w:r>
      <w:r w:rsidRPr="00262600">
        <w:rPr>
          <w:rFonts w:ascii="Arial" w:eastAsia="Calibri" w:hAnsi="Arial" w:cs="Arial"/>
          <w:sz w:val="15"/>
          <w:szCs w:val="15"/>
          <w:lang w:val="id-ID"/>
        </w:rPr>
        <w:t xml:space="preserve">. Setelah post tes I dan post tes II menunjukan hasil yang signifikan </w:t>
      </w:r>
      <w:r w:rsidRPr="00262600">
        <w:rPr>
          <w:rFonts w:ascii="Arial" w:eastAsia="Calibri" w:hAnsi="Arial" w:cs="Arial"/>
          <w:sz w:val="15"/>
          <w:szCs w:val="15"/>
        </w:rPr>
        <w:t>(p</w:t>
      </w:r>
      <w:r w:rsidRPr="00262600">
        <w:rPr>
          <w:rFonts w:ascii="Arial" w:eastAsia="Calibri" w:hAnsi="Arial" w:cs="Arial"/>
          <w:sz w:val="15"/>
          <w:szCs w:val="15"/>
          <w:lang w:val="id-ID"/>
        </w:rPr>
        <w:t>&lt;</w:t>
      </w:r>
      <w:r w:rsidRPr="00262600">
        <w:rPr>
          <w:rFonts w:ascii="Arial" w:eastAsia="Calibri" w:hAnsi="Arial" w:cs="Arial"/>
          <w:sz w:val="15"/>
          <w:szCs w:val="15"/>
        </w:rPr>
        <w:t>0,05)</w:t>
      </w:r>
      <w:r w:rsidRPr="00262600">
        <w:rPr>
          <w:rFonts w:ascii="Arial" w:eastAsia="Calibri" w:hAnsi="Arial" w:cs="Arial"/>
          <w:sz w:val="15"/>
          <w:szCs w:val="15"/>
          <w:lang w:val="id-ID"/>
        </w:rPr>
        <w:t>, hal ini menunjukan ada perbedaan antara kelompok kontrol dengan kelompok intervensi baik postes I dan postes II.</w:t>
      </w:r>
    </w:p>
    <w:p w14:paraId="2C373FDA" w14:textId="33FC5927" w:rsidR="00642A2A" w:rsidRPr="00262600" w:rsidRDefault="00642A2A" w:rsidP="00642A2A">
      <w:pPr>
        <w:jc w:val="both"/>
        <w:rPr>
          <w:rFonts w:ascii="Arial" w:eastAsia="Calibri" w:hAnsi="Arial" w:cs="Arial"/>
          <w:sz w:val="15"/>
          <w:szCs w:val="15"/>
          <w:lang w:val="id-ID"/>
        </w:rPr>
      </w:pPr>
      <w:r w:rsidRPr="00262600">
        <w:rPr>
          <w:rFonts w:ascii="Arial" w:eastAsia="Calibri" w:hAnsi="Arial" w:cs="Arial"/>
          <w:sz w:val="15"/>
          <w:szCs w:val="15"/>
          <w:lang w:val="id-ID"/>
        </w:rPr>
        <w:tab/>
        <w:t xml:space="preserve">Hasil penelitian ini menyatakan bahwa pemberian terapi </w:t>
      </w:r>
      <w:r w:rsidRPr="00262600">
        <w:rPr>
          <w:rFonts w:ascii="Arial" w:eastAsia="Calibri" w:hAnsi="Arial" w:cs="Arial"/>
          <w:i/>
          <w:sz w:val="15"/>
          <w:szCs w:val="15"/>
          <w:lang w:val="id-ID"/>
        </w:rPr>
        <w:t>progressive muscle relaxation</w:t>
      </w:r>
      <w:r w:rsidRPr="00262600">
        <w:rPr>
          <w:rFonts w:ascii="Arial" w:eastAsia="Calibri" w:hAnsi="Arial" w:cs="Arial"/>
          <w:sz w:val="15"/>
          <w:szCs w:val="15"/>
          <w:lang w:val="id-ID"/>
        </w:rPr>
        <w:t xml:space="preserve"> dapat menurunkan nyeri pada pasien hemodialisa, selaras dengan penelitian </w:t>
      </w:r>
      <w:r w:rsidR="001F609F" w:rsidRPr="00262600">
        <w:rPr>
          <w:rFonts w:ascii="Arial" w:eastAsia="Calibri" w:hAnsi="Arial" w:cs="Arial"/>
          <w:sz w:val="15"/>
          <w:szCs w:val="15"/>
          <w:vertAlign w:val="superscript"/>
        </w:rPr>
        <w:t>12</w:t>
      </w:r>
      <w:r w:rsidRPr="00262600">
        <w:rPr>
          <w:rFonts w:ascii="Arial" w:eastAsia="Calibri" w:hAnsi="Arial" w:cs="Arial"/>
          <w:sz w:val="15"/>
          <w:szCs w:val="15"/>
          <w:lang w:val="id-ID"/>
        </w:rPr>
        <w:t xml:space="preserve"> yang menyatakan bahwa latihan PMR signifikan dalam menurunkan nyeri dengan hasil p-value &lt; 0,05. Terapi PMR dapat juga untuk menurunkan kecemasan </w:t>
      </w:r>
      <w:r w:rsidR="001F609F" w:rsidRPr="00262600">
        <w:rPr>
          <w:rFonts w:ascii="Arial" w:eastAsia="Calibri" w:hAnsi="Arial" w:cs="Arial"/>
          <w:sz w:val="15"/>
          <w:szCs w:val="15"/>
          <w:vertAlign w:val="superscript"/>
        </w:rPr>
        <w:t>18</w:t>
      </w:r>
      <w:r w:rsidRPr="00262600">
        <w:rPr>
          <w:rFonts w:ascii="Arial" w:eastAsia="Calibri" w:hAnsi="Arial" w:cs="Arial"/>
          <w:sz w:val="15"/>
          <w:szCs w:val="15"/>
          <w:lang w:val="id-ID"/>
        </w:rPr>
        <w:t xml:space="preserve">, menurunkan depresi </w:t>
      </w:r>
      <w:r w:rsidR="001F609F" w:rsidRPr="00262600">
        <w:rPr>
          <w:rFonts w:ascii="Arial" w:eastAsia="Calibri" w:hAnsi="Arial" w:cs="Arial"/>
          <w:sz w:val="15"/>
          <w:szCs w:val="15"/>
          <w:vertAlign w:val="superscript"/>
        </w:rPr>
        <w:t>19</w:t>
      </w:r>
      <w:r w:rsidR="001F609F" w:rsidRPr="00262600">
        <w:rPr>
          <w:rFonts w:ascii="Arial" w:eastAsia="Calibri" w:hAnsi="Arial" w:cs="Arial"/>
          <w:sz w:val="15"/>
          <w:szCs w:val="15"/>
        </w:rPr>
        <w:t xml:space="preserve">, </w:t>
      </w:r>
      <w:r w:rsidRPr="00262600">
        <w:rPr>
          <w:rFonts w:ascii="Arial" w:eastAsia="Calibri" w:hAnsi="Arial" w:cs="Arial"/>
          <w:sz w:val="15"/>
          <w:szCs w:val="15"/>
          <w:lang w:val="id-ID"/>
        </w:rPr>
        <w:t xml:space="preserve">menurunkan kadar glukosa darah </w:t>
      </w:r>
      <w:r w:rsidR="001F609F" w:rsidRPr="00262600">
        <w:rPr>
          <w:rFonts w:ascii="Arial" w:eastAsia="Calibri" w:hAnsi="Arial" w:cs="Arial"/>
          <w:sz w:val="15"/>
          <w:szCs w:val="15"/>
          <w:vertAlign w:val="superscript"/>
        </w:rPr>
        <w:t>20</w:t>
      </w:r>
      <w:r w:rsidR="001F609F" w:rsidRPr="00262600">
        <w:rPr>
          <w:rFonts w:ascii="Arial" w:eastAsia="Calibri" w:hAnsi="Arial" w:cs="Arial"/>
          <w:sz w:val="15"/>
          <w:szCs w:val="15"/>
        </w:rPr>
        <w:t>,</w:t>
      </w:r>
      <w:r w:rsidRPr="00262600">
        <w:rPr>
          <w:rFonts w:ascii="Arial" w:eastAsia="Calibri" w:hAnsi="Arial" w:cs="Arial"/>
          <w:sz w:val="15"/>
          <w:szCs w:val="15"/>
          <w:lang w:val="id-ID"/>
        </w:rPr>
        <w:t xml:space="preserve"> menurunkan tekanan darah tinggi </w:t>
      </w:r>
      <w:r w:rsidR="001F609F" w:rsidRPr="00262600">
        <w:rPr>
          <w:rFonts w:ascii="Arial" w:eastAsia="Calibri" w:hAnsi="Arial" w:cs="Arial"/>
          <w:sz w:val="15"/>
          <w:szCs w:val="15"/>
          <w:vertAlign w:val="superscript"/>
        </w:rPr>
        <w:t>21</w:t>
      </w:r>
      <w:r w:rsidRPr="00262600">
        <w:rPr>
          <w:rFonts w:ascii="Arial" w:eastAsia="Calibri" w:hAnsi="Arial" w:cs="Arial"/>
          <w:sz w:val="15"/>
          <w:szCs w:val="15"/>
          <w:lang w:val="id-ID"/>
        </w:rPr>
        <w:t xml:space="preserve">, dan meningkatkan kualitas tidur </w:t>
      </w:r>
      <w:r w:rsidR="002072BC" w:rsidRPr="00262600">
        <w:rPr>
          <w:rFonts w:ascii="Arial" w:eastAsia="Calibri" w:hAnsi="Arial" w:cs="Arial"/>
          <w:sz w:val="15"/>
          <w:szCs w:val="15"/>
          <w:vertAlign w:val="superscript"/>
        </w:rPr>
        <w:t>1</w:t>
      </w:r>
      <w:r w:rsidR="001F609F" w:rsidRPr="00262600">
        <w:rPr>
          <w:rFonts w:ascii="Arial" w:eastAsia="Calibri" w:hAnsi="Arial" w:cs="Arial"/>
          <w:sz w:val="15"/>
          <w:szCs w:val="15"/>
          <w:vertAlign w:val="superscript"/>
        </w:rPr>
        <w:t>2,</w:t>
      </w:r>
      <w:r w:rsidR="002072BC" w:rsidRPr="00262600">
        <w:rPr>
          <w:rFonts w:ascii="Arial" w:eastAsia="Calibri" w:hAnsi="Arial" w:cs="Arial"/>
          <w:sz w:val="15"/>
          <w:szCs w:val="15"/>
          <w:vertAlign w:val="superscript"/>
        </w:rPr>
        <w:t>2</w:t>
      </w:r>
      <w:r w:rsidR="001F609F" w:rsidRPr="00262600">
        <w:rPr>
          <w:rFonts w:ascii="Arial" w:eastAsia="Calibri" w:hAnsi="Arial" w:cs="Arial"/>
          <w:sz w:val="15"/>
          <w:szCs w:val="15"/>
          <w:vertAlign w:val="superscript"/>
        </w:rPr>
        <w:t>2</w:t>
      </w:r>
      <w:r w:rsidRPr="00262600">
        <w:rPr>
          <w:rFonts w:ascii="Arial" w:eastAsia="Calibri" w:hAnsi="Arial" w:cs="Arial"/>
          <w:sz w:val="15"/>
          <w:szCs w:val="15"/>
          <w:lang w:val="id-ID"/>
        </w:rPr>
        <w:t>.</w:t>
      </w:r>
    </w:p>
    <w:p w14:paraId="5E994CFC" w14:textId="77777777" w:rsidR="00642A2A" w:rsidRPr="00262600" w:rsidRDefault="00642A2A" w:rsidP="00642A2A">
      <w:pPr>
        <w:rPr>
          <w:rFonts w:ascii="Arial" w:eastAsia="Calibri" w:hAnsi="Arial" w:cs="Arial"/>
          <w:sz w:val="15"/>
          <w:szCs w:val="15"/>
        </w:rPr>
      </w:pPr>
    </w:p>
    <w:p w14:paraId="3A2B41A1" w14:textId="77777777" w:rsidR="00642A2A" w:rsidRPr="00262600" w:rsidRDefault="00642A2A" w:rsidP="00642A2A">
      <w:pPr>
        <w:rPr>
          <w:rFonts w:ascii="Arial" w:eastAsia="Calibri" w:hAnsi="Arial" w:cs="Arial"/>
          <w:sz w:val="15"/>
          <w:szCs w:val="15"/>
        </w:rPr>
      </w:pPr>
    </w:p>
    <w:p w14:paraId="28818E6A" w14:textId="77777777" w:rsidR="00642A2A" w:rsidRPr="00262600" w:rsidRDefault="00642A2A" w:rsidP="00642A2A">
      <w:pPr>
        <w:jc w:val="both"/>
        <w:rPr>
          <w:rFonts w:ascii="Arial" w:eastAsia="Calibri" w:hAnsi="Arial" w:cs="Arial"/>
          <w:sz w:val="15"/>
          <w:szCs w:val="15"/>
        </w:rPr>
        <w:sectPr w:rsidR="00642A2A" w:rsidRPr="00262600" w:rsidSect="006D4EFD">
          <w:type w:val="continuous"/>
          <w:pgSz w:w="11907" w:h="16840" w:code="9"/>
          <w:pgMar w:top="1701" w:right="1247" w:bottom="1531" w:left="1134" w:header="1021" w:footer="1077" w:gutter="0"/>
          <w:cols w:space="340"/>
          <w:docGrid w:linePitch="360"/>
        </w:sectPr>
      </w:pPr>
    </w:p>
    <w:p w14:paraId="0D413295" w14:textId="75433FB3" w:rsidR="00642A2A" w:rsidRPr="00E832F2" w:rsidRDefault="00642A2A" w:rsidP="00642A2A">
      <w:pPr>
        <w:jc w:val="both"/>
        <w:rPr>
          <w:rFonts w:ascii="Arial" w:hAnsi="Arial" w:cs="Arial"/>
          <w:b/>
          <w:bCs/>
          <w:sz w:val="21"/>
          <w:szCs w:val="21"/>
        </w:rPr>
      </w:pPr>
      <w:r w:rsidRPr="00E832F2">
        <w:rPr>
          <w:rFonts w:ascii="Arial" w:hAnsi="Arial" w:cs="Arial"/>
          <w:b/>
          <w:bCs/>
          <w:sz w:val="21"/>
          <w:szCs w:val="21"/>
        </w:rPr>
        <w:t>DISCUSSION</w:t>
      </w:r>
    </w:p>
    <w:p w14:paraId="2FEFA6DF" w14:textId="77777777" w:rsidR="004B17FB" w:rsidRPr="00E832F2" w:rsidRDefault="004B17FB" w:rsidP="00642A2A">
      <w:pPr>
        <w:jc w:val="both"/>
        <w:rPr>
          <w:rFonts w:ascii="Arial" w:hAnsi="Arial" w:cs="Arial"/>
          <w:sz w:val="15"/>
          <w:szCs w:val="15"/>
          <w:lang w:val="id-ID"/>
        </w:rPr>
      </w:pPr>
    </w:p>
    <w:p w14:paraId="6801A468" w14:textId="5E63691C" w:rsidR="00E81F6B" w:rsidRPr="00E832F2" w:rsidRDefault="00E832F2" w:rsidP="00EE424D">
      <w:pPr>
        <w:ind w:firstLine="720"/>
        <w:jc w:val="both"/>
        <w:rPr>
          <w:rFonts w:ascii="Arial" w:eastAsia="Calibri" w:hAnsi="Arial" w:cs="Arial"/>
          <w:sz w:val="15"/>
          <w:szCs w:val="15"/>
        </w:rPr>
      </w:pPr>
      <w:r w:rsidRPr="00E832F2">
        <w:rPr>
          <w:rFonts w:ascii="Arial" w:eastAsia="Calibri" w:hAnsi="Arial" w:cs="Arial"/>
          <w:sz w:val="15"/>
          <w:szCs w:val="15"/>
          <w:lang w:val="id-ID"/>
        </w:rPr>
        <w:t>Pasien yang menjalani hemodialisa berusia lebih dari 40 tahun merupakan faktor risiko yang memperberat terjadinya nyeri. Usia yang terus bertambah menyebabkan cairan pelumas pada persendian berkurang secara perlahan, sehingga tulang rawan yang menjadi bantalan pergerakan sendi menjadi lebih kering. Akibatnya tulang sendi menipis, tidak elastis dan bergesekan sehingga timbul rasa nyeri (Parvan, 2013)</w:t>
      </w:r>
      <w:r w:rsidRPr="00E832F2">
        <w:rPr>
          <w:rFonts w:ascii="Arial" w:eastAsia="Calibri" w:hAnsi="Arial" w:cs="Arial"/>
          <w:sz w:val="15"/>
          <w:szCs w:val="15"/>
        </w:rPr>
        <w:t>.</w:t>
      </w:r>
    </w:p>
    <w:p w14:paraId="57F26083" w14:textId="77777777" w:rsidR="00E832F2" w:rsidRPr="00E832F2" w:rsidRDefault="00E832F2" w:rsidP="00E832F2">
      <w:pPr>
        <w:jc w:val="both"/>
        <w:rPr>
          <w:rFonts w:ascii="Arial" w:eastAsia="Calibri" w:hAnsi="Arial" w:cs="Arial"/>
          <w:sz w:val="15"/>
          <w:szCs w:val="15"/>
          <w:lang w:val="id-ID"/>
        </w:rPr>
      </w:pPr>
    </w:p>
    <w:p w14:paraId="2A766DBF" w14:textId="6C94BD8D" w:rsidR="00E832F2" w:rsidRPr="00E832F2" w:rsidRDefault="00E832F2" w:rsidP="00E832F2">
      <w:pPr>
        <w:jc w:val="both"/>
        <w:rPr>
          <w:rFonts w:ascii="Arial" w:eastAsia="Calibri" w:hAnsi="Arial" w:cs="Arial"/>
          <w:sz w:val="15"/>
          <w:szCs w:val="15"/>
          <w:lang w:val="id-ID"/>
        </w:rPr>
      </w:pPr>
      <w:r w:rsidRPr="00E832F2">
        <w:rPr>
          <w:rFonts w:ascii="Arial" w:eastAsia="Calibri" w:hAnsi="Arial" w:cs="Arial"/>
          <w:sz w:val="15"/>
          <w:szCs w:val="15"/>
          <w:lang w:val="id-ID"/>
        </w:rPr>
        <w:lastRenderedPageBreak/>
        <w:t xml:space="preserve">Faktor pendidikan dan status pekerjaan sangatlah penting dalam menjalankan terapi PMR, semakin tinggi pendidikan dan status pekerjaan bekerja dapat meningkatkan kemampuan seorang dalam menerima informasi mengenai pentingnya tindakan pemberian PMR sehingga dapat dilakukan dengan efektif </w:t>
      </w:r>
      <w:r w:rsidR="00165058">
        <w:rPr>
          <w:rFonts w:ascii="Arial" w:eastAsia="Calibri" w:hAnsi="Arial" w:cs="Arial"/>
          <w:sz w:val="15"/>
          <w:szCs w:val="15"/>
          <w:vertAlign w:val="superscript"/>
        </w:rPr>
        <w:t>23</w:t>
      </w:r>
      <w:r w:rsidR="00165058">
        <w:rPr>
          <w:rFonts w:ascii="Arial" w:eastAsia="Calibri" w:hAnsi="Arial" w:cs="Arial"/>
          <w:sz w:val="15"/>
          <w:szCs w:val="15"/>
        </w:rPr>
        <w:t>.</w:t>
      </w:r>
      <w:r w:rsidRPr="00E832F2">
        <w:rPr>
          <w:rFonts w:ascii="Arial" w:eastAsia="Calibri" w:hAnsi="Arial" w:cs="Arial"/>
          <w:sz w:val="15"/>
          <w:szCs w:val="15"/>
          <w:lang w:val="id-ID"/>
        </w:rPr>
        <w:t xml:space="preserve"> </w:t>
      </w:r>
    </w:p>
    <w:p w14:paraId="7248CC52" w14:textId="4DB8275C" w:rsidR="00E832F2" w:rsidRPr="00165058" w:rsidRDefault="00E832F2" w:rsidP="00EE424D">
      <w:pPr>
        <w:ind w:firstLine="720"/>
        <w:jc w:val="both"/>
        <w:rPr>
          <w:rFonts w:ascii="Arial" w:eastAsia="Calibri" w:hAnsi="Arial" w:cs="Arial"/>
          <w:sz w:val="15"/>
          <w:szCs w:val="15"/>
        </w:rPr>
      </w:pPr>
      <w:r w:rsidRPr="00E832F2">
        <w:rPr>
          <w:rFonts w:ascii="Arial" w:eastAsia="Calibri" w:hAnsi="Arial" w:cs="Arial"/>
          <w:sz w:val="15"/>
          <w:szCs w:val="15"/>
          <w:lang w:val="id-ID"/>
        </w:rPr>
        <w:t>Sumber nyeri pada pasien hemodialisa disebabkan oleh kadae ureum yang tinggi dalam darah dan terjadi peningkatan sekresi hormon paratiroid dari kelenjar paratiroid yang berpotensi mengganggu keseimbangan kalsium dan fosfat dalam tulang, sehingga dapat menimbulkan nyeri</w:t>
      </w:r>
      <w:r w:rsidR="00165058">
        <w:rPr>
          <w:rFonts w:ascii="Arial" w:eastAsia="Calibri" w:hAnsi="Arial" w:cs="Arial"/>
          <w:sz w:val="15"/>
          <w:szCs w:val="15"/>
        </w:rPr>
        <w:t xml:space="preserve">. </w:t>
      </w:r>
      <w:r w:rsidRPr="00E832F2">
        <w:rPr>
          <w:rFonts w:ascii="Arial" w:eastAsia="Calibri" w:hAnsi="Arial" w:cs="Arial"/>
          <w:sz w:val="15"/>
          <w:szCs w:val="15"/>
          <w:lang w:val="id-ID"/>
        </w:rPr>
        <w:t xml:space="preserve">Terganggunya metabolisme mineral tulang terutama kalsium, hormon paratiroid, dan penumpukan urea dalam darah memiliki hubungan yang kuat dengan nyeri yang dialami pasien hemodialisa </w:t>
      </w:r>
      <w:r w:rsidR="00165058">
        <w:rPr>
          <w:rFonts w:ascii="Arial" w:eastAsia="Calibri" w:hAnsi="Arial" w:cs="Arial"/>
          <w:sz w:val="15"/>
          <w:szCs w:val="15"/>
          <w:vertAlign w:val="superscript"/>
        </w:rPr>
        <w:t>24</w:t>
      </w:r>
      <w:r w:rsidRPr="00E832F2">
        <w:rPr>
          <w:rFonts w:ascii="Arial" w:eastAsia="Calibri" w:hAnsi="Arial" w:cs="Arial"/>
          <w:sz w:val="15"/>
          <w:szCs w:val="15"/>
          <w:lang w:val="id-ID"/>
        </w:rPr>
        <w:t xml:space="preserve">. </w:t>
      </w:r>
    </w:p>
    <w:p w14:paraId="2081526E" w14:textId="1FB756D5" w:rsidR="00E832F2" w:rsidRPr="00165058" w:rsidRDefault="00E832F2" w:rsidP="00EE424D">
      <w:pPr>
        <w:ind w:firstLine="720"/>
        <w:jc w:val="both"/>
        <w:rPr>
          <w:rFonts w:ascii="Arial" w:eastAsia="Calibri" w:hAnsi="Arial" w:cs="Arial"/>
          <w:sz w:val="15"/>
          <w:szCs w:val="15"/>
        </w:rPr>
      </w:pPr>
      <w:r w:rsidRPr="00E832F2">
        <w:rPr>
          <w:rFonts w:ascii="Arial" w:eastAsia="Calibri" w:hAnsi="Arial" w:cs="Arial"/>
          <w:sz w:val="15"/>
          <w:szCs w:val="15"/>
          <w:lang w:val="id-ID"/>
        </w:rPr>
        <w:t>PMR dengan gerakan kontraksi dan rileksasi otot maka tubuh secara fisiologi akan memproduksi endogen untuk menghambat impuls nyeri tersebut dan suasana tubuh menjadi rileks endogen terdiri dari endorfin dan enkefalin, substansi ini seperti morfin yang berfungsi menghambat transmisi impuls nyeri. Apabila tubuh mengeluarkan endorfin dan enkefalin salah satu efeknya adalah pereda nyeri</w:t>
      </w:r>
      <w:r w:rsidR="00165058">
        <w:rPr>
          <w:rFonts w:ascii="Arial" w:eastAsia="Calibri" w:hAnsi="Arial" w:cs="Arial"/>
          <w:sz w:val="15"/>
          <w:szCs w:val="15"/>
        </w:rPr>
        <w:t xml:space="preserve"> </w:t>
      </w:r>
      <w:r w:rsidR="00165058">
        <w:rPr>
          <w:rFonts w:ascii="Arial" w:eastAsia="Calibri" w:hAnsi="Arial" w:cs="Arial"/>
          <w:sz w:val="15"/>
          <w:szCs w:val="15"/>
          <w:vertAlign w:val="superscript"/>
        </w:rPr>
        <w:t>2</w:t>
      </w:r>
      <w:r w:rsidR="00165058">
        <w:rPr>
          <w:rFonts w:ascii="Arial" w:eastAsia="Calibri" w:hAnsi="Arial" w:cs="Arial"/>
          <w:sz w:val="15"/>
          <w:szCs w:val="15"/>
        </w:rPr>
        <w:t>.</w:t>
      </w:r>
    </w:p>
    <w:p w14:paraId="7B89D8A6" w14:textId="7B6E9AD5" w:rsidR="00E832F2" w:rsidRPr="00E832F2" w:rsidRDefault="00E832F2" w:rsidP="00EE424D">
      <w:pPr>
        <w:ind w:firstLine="720"/>
        <w:jc w:val="both"/>
        <w:rPr>
          <w:rFonts w:ascii="Arial" w:eastAsia="Calibri" w:hAnsi="Arial" w:cs="Arial"/>
          <w:sz w:val="15"/>
          <w:szCs w:val="15"/>
          <w:lang w:val="id-ID"/>
        </w:rPr>
      </w:pPr>
      <w:r w:rsidRPr="00E832F2">
        <w:rPr>
          <w:rFonts w:ascii="Arial" w:eastAsia="Calibri" w:hAnsi="Arial" w:cs="Arial"/>
          <w:sz w:val="15"/>
          <w:szCs w:val="15"/>
          <w:lang w:val="id-ID"/>
        </w:rPr>
        <w:t xml:space="preserve">Hasil penelitian yang menyatakan bahwa pemberian terapi </w:t>
      </w:r>
      <w:r w:rsidRPr="00E832F2">
        <w:rPr>
          <w:rFonts w:ascii="Arial" w:eastAsia="Calibri" w:hAnsi="Arial" w:cs="Arial"/>
          <w:i/>
          <w:sz w:val="15"/>
          <w:szCs w:val="15"/>
          <w:lang w:val="id-ID"/>
        </w:rPr>
        <w:t>progressive muscle relaxation</w:t>
      </w:r>
      <w:r w:rsidRPr="00E832F2">
        <w:rPr>
          <w:rFonts w:ascii="Arial" w:eastAsia="Calibri" w:hAnsi="Arial" w:cs="Arial"/>
          <w:sz w:val="15"/>
          <w:szCs w:val="15"/>
          <w:lang w:val="id-ID"/>
        </w:rPr>
        <w:t xml:space="preserve"> dapat menurunkan nyeri dan meningkatkan kualitas tidur pasien hemodialisa, selaras dengan penelitian Saeedi (2012) yang menyatakan bahwa latihan PMR signifikan dalam menurunkan nyeri dan meningkatkan kualitas tidur dengan hasil p-value &lt; 0.05. Penelitian ini menguatkan hasil penelitian sebelumnya yang menyebutkan bahwa teknik relaksasi PMR dapat menurunkan nyeri setelah dilakukan setiap hari selama 1 bulan </w:t>
      </w:r>
      <w:r w:rsidR="00165058">
        <w:rPr>
          <w:rFonts w:ascii="Arial" w:eastAsia="Calibri" w:hAnsi="Arial" w:cs="Arial"/>
          <w:sz w:val="15"/>
          <w:szCs w:val="15"/>
          <w:vertAlign w:val="superscript"/>
        </w:rPr>
        <w:t>22</w:t>
      </w:r>
      <w:r w:rsidRPr="00E832F2">
        <w:rPr>
          <w:rFonts w:ascii="Arial" w:eastAsia="Calibri" w:hAnsi="Arial" w:cs="Arial"/>
          <w:sz w:val="15"/>
          <w:szCs w:val="15"/>
          <w:lang w:val="id-ID"/>
        </w:rPr>
        <w:t xml:space="preserve">. </w:t>
      </w:r>
    </w:p>
    <w:p w14:paraId="53AA60A0" w14:textId="77777777" w:rsidR="00E832F2" w:rsidRPr="00E832F2" w:rsidRDefault="00E832F2" w:rsidP="00E832F2">
      <w:pPr>
        <w:jc w:val="both"/>
        <w:rPr>
          <w:rFonts w:ascii="Arial" w:eastAsia="Calibri" w:hAnsi="Arial" w:cs="Arial"/>
          <w:color w:val="FF0000"/>
          <w:sz w:val="15"/>
          <w:szCs w:val="15"/>
        </w:rPr>
      </w:pPr>
    </w:p>
    <w:p w14:paraId="7A0B1FFA" w14:textId="77777777" w:rsidR="00E832F2" w:rsidRPr="00E832F2" w:rsidRDefault="00E832F2" w:rsidP="00642A2A">
      <w:pPr>
        <w:jc w:val="both"/>
        <w:rPr>
          <w:rFonts w:ascii="Arial" w:eastAsia="Calibri" w:hAnsi="Arial" w:cs="Arial"/>
          <w:color w:val="FF0000"/>
          <w:sz w:val="15"/>
          <w:szCs w:val="15"/>
        </w:rPr>
      </w:pPr>
    </w:p>
    <w:p w14:paraId="00B1881E" w14:textId="77777777" w:rsidR="00642A2A" w:rsidRPr="00262600" w:rsidRDefault="00642A2A" w:rsidP="00642A2A">
      <w:pPr>
        <w:jc w:val="both"/>
        <w:rPr>
          <w:rFonts w:ascii="Arial" w:hAnsi="Arial" w:cs="Arial"/>
          <w:color w:val="FF0000"/>
          <w:sz w:val="15"/>
          <w:szCs w:val="15"/>
          <w:lang w:val="id-ID"/>
        </w:rPr>
      </w:pPr>
    </w:p>
    <w:p w14:paraId="35BF895E" w14:textId="77777777" w:rsidR="00642A2A" w:rsidRPr="004B17FB" w:rsidRDefault="00642A2A" w:rsidP="00642A2A">
      <w:pPr>
        <w:jc w:val="both"/>
        <w:rPr>
          <w:rFonts w:ascii="Arial" w:hAnsi="Arial" w:cs="Arial"/>
          <w:b/>
          <w:bCs/>
          <w:sz w:val="21"/>
          <w:szCs w:val="21"/>
        </w:rPr>
      </w:pPr>
      <w:r w:rsidRPr="004B17FB">
        <w:rPr>
          <w:rFonts w:ascii="Arial" w:hAnsi="Arial" w:cs="Arial"/>
          <w:b/>
          <w:bCs/>
          <w:sz w:val="21"/>
          <w:szCs w:val="21"/>
          <w:lang w:val="id-ID"/>
        </w:rPr>
        <w:t>CONCLUSIONS</w:t>
      </w:r>
      <w:r w:rsidRPr="004B17FB">
        <w:rPr>
          <w:rFonts w:ascii="Arial" w:hAnsi="Arial" w:cs="Arial"/>
          <w:b/>
          <w:bCs/>
          <w:sz w:val="21"/>
          <w:szCs w:val="21"/>
        </w:rPr>
        <w:t xml:space="preserve"> AND RECOMMENDATION</w:t>
      </w:r>
    </w:p>
    <w:p w14:paraId="1005A3E9" w14:textId="1791D80C" w:rsidR="00642A2A" w:rsidRPr="00262600" w:rsidRDefault="00642A2A" w:rsidP="00642A2A">
      <w:pPr>
        <w:ind w:firstLine="720"/>
        <w:jc w:val="both"/>
        <w:rPr>
          <w:rFonts w:ascii="Arial" w:eastAsia="Calibri" w:hAnsi="Arial" w:cs="Arial"/>
          <w:sz w:val="15"/>
          <w:szCs w:val="15"/>
          <w:lang w:val="id-ID"/>
        </w:rPr>
      </w:pPr>
      <w:r w:rsidRPr="00262600">
        <w:rPr>
          <w:rFonts w:ascii="Arial" w:eastAsia="Calibri" w:hAnsi="Arial" w:cs="Arial"/>
          <w:sz w:val="15"/>
          <w:szCs w:val="15"/>
          <w:lang w:val="id-ID"/>
        </w:rPr>
        <w:t>Hasil penelitian ini terdapat perbedaan penurunan tingkat nyeri yang signifikan antara kelompok intervensi dengan kelompok kontrol. Terapi PMR dapat dijadikan intervensi mandiri perawat untuk d</w:t>
      </w:r>
      <w:r w:rsidRPr="00262600">
        <w:rPr>
          <w:rFonts w:ascii="Arial" w:eastAsia="Calibri" w:hAnsi="Arial" w:cs="Arial"/>
          <w:sz w:val="15"/>
          <w:szCs w:val="15"/>
        </w:rPr>
        <w:t xml:space="preserve">iberikan pada pasien </w:t>
      </w:r>
      <w:r w:rsidRPr="00262600">
        <w:rPr>
          <w:rFonts w:ascii="Arial" w:eastAsia="Calibri" w:hAnsi="Arial" w:cs="Arial"/>
          <w:sz w:val="15"/>
          <w:szCs w:val="15"/>
          <w:lang w:val="id-ID"/>
        </w:rPr>
        <w:t>hemodialisa yang mengalami</w:t>
      </w:r>
      <w:r w:rsidRPr="00262600">
        <w:rPr>
          <w:rFonts w:ascii="Arial" w:eastAsia="Calibri" w:hAnsi="Arial" w:cs="Arial"/>
          <w:sz w:val="15"/>
          <w:szCs w:val="15"/>
        </w:rPr>
        <w:t xml:space="preserve"> nyeri baik ringan</w:t>
      </w:r>
      <w:r w:rsidR="00E81F6B">
        <w:rPr>
          <w:rFonts w:ascii="Arial" w:eastAsia="Calibri" w:hAnsi="Arial" w:cs="Arial"/>
          <w:sz w:val="15"/>
          <w:szCs w:val="15"/>
        </w:rPr>
        <w:t xml:space="preserve"> atau </w:t>
      </w:r>
      <w:r w:rsidRPr="00262600">
        <w:rPr>
          <w:rFonts w:ascii="Arial" w:eastAsia="Calibri" w:hAnsi="Arial" w:cs="Arial"/>
          <w:sz w:val="15"/>
          <w:szCs w:val="15"/>
        </w:rPr>
        <w:t>sedang</w:t>
      </w:r>
      <w:r w:rsidRPr="00262600">
        <w:rPr>
          <w:rFonts w:ascii="Arial" w:eastAsia="Calibri" w:hAnsi="Arial" w:cs="Arial"/>
          <w:sz w:val="15"/>
          <w:szCs w:val="15"/>
          <w:lang w:val="id-ID"/>
        </w:rPr>
        <w:t>, sehingga masalah yang sering dialami oleh pasien hemodialisa dapat tertangani.</w:t>
      </w:r>
    </w:p>
    <w:p w14:paraId="436DC888" w14:textId="77777777" w:rsidR="00642A2A" w:rsidRPr="00262600" w:rsidRDefault="00642A2A" w:rsidP="00642A2A">
      <w:pPr>
        <w:rPr>
          <w:rFonts w:ascii="Arial" w:eastAsia="Calibri" w:hAnsi="Arial" w:cs="Arial"/>
          <w:sz w:val="15"/>
          <w:szCs w:val="15"/>
        </w:rPr>
      </w:pPr>
    </w:p>
    <w:p w14:paraId="65B2EDA9" w14:textId="6BE1E471" w:rsidR="00642A2A" w:rsidRPr="004B17FB" w:rsidRDefault="004B17FB" w:rsidP="00642A2A">
      <w:pPr>
        <w:rPr>
          <w:rFonts w:ascii="Arial" w:hAnsi="Arial" w:cs="Arial"/>
          <w:b/>
          <w:bCs/>
          <w:sz w:val="15"/>
          <w:szCs w:val="15"/>
          <w:lang w:val="id-ID"/>
        </w:rPr>
      </w:pPr>
      <w:r w:rsidRPr="004B17FB">
        <w:rPr>
          <w:rFonts w:ascii="Arial" w:hAnsi="Arial" w:cs="Arial"/>
          <w:b/>
          <w:bCs/>
          <w:sz w:val="21"/>
          <w:szCs w:val="21"/>
        </w:rPr>
        <w:t>RE</w:t>
      </w:r>
      <w:r w:rsidR="00642A2A" w:rsidRPr="004B17FB">
        <w:rPr>
          <w:rFonts w:ascii="Arial" w:hAnsi="Arial" w:cs="Arial"/>
          <w:b/>
          <w:bCs/>
          <w:sz w:val="21"/>
          <w:szCs w:val="21"/>
          <w:lang w:val="id-ID"/>
        </w:rPr>
        <w:t>FERENCE</w:t>
      </w:r>
      <w:r w:rsidRPr="004B17FB">
        <w:rPr>
          <w:rFonts w:ascii="Arial" w:hAnsi="Arial" w:cs="Arial"/>
          <w:b/>
          <w:bCs/>
          <w:sz w:val="21"/>
          <w:szCs w:val="21"/>
        </w:rPr>
        <w:t>S</w:t>
      </w:r>
    </w:p>
    <w:p w14:paraId="16F8E6EB" w14:textId="77777777" w:rsidR="004B17FB" w:rsidRPr="00262600" w:rsidRDefault="004B17FB" w:rsidP="00642A2A">
      <w:pPr>
        <w:rPr>
          <w:rFonts w:ascii="Arial" w:hAnsi="Arial" w:cs="Arial"/>
          <w:sz w:val="15"/>
          <w:szCs w:val="15"/>
          <w:lang w:val="id-ID"/>
        </w:rPr>
      </w:pPr>
    </w:p>
    <w:p w14:paraId="3B484939"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 xml:space="preserve">Hill, N. R. </w:t>
      </w:r>
      <w:r w:rsidRPr="00262600">
        <w:rPr>
          <w:rFonts w:ascii="Arial" w:hAnsi="Arial" w:cs="Arial"/>
          <w:i/>
          <w:iCs/>
          <w:sz w:val="15"/>
          <w:szCs w:val="15"/>
        </w:rPr>
        <w:t>et al.</w:t>
      </w:r>
      <w:r w:rsidRPr="00262600">
        <w:rPr>
          <w:rFonts w:ascii="Arial" w:hAnsi="Arial" w:cs="Arial"/>
          <w:sz w:val="15"/>
          <w:szCs w:val="15"/>
        </w:rPr>
        <w:t xml:space="preserve"> (2016) ‘Global Prevalence of Chronic Kidney Disease – A Systematic Review and Meta-Analysis’, pp. 1–18. doi: 10.5061/dryad.3s7rd.Funding. Accessed </w:t>
      </w:r>
      <w:r w:rsidRPr="00262600">
        <w:rPr>
          <w:rFonts w:ascii="Arial" w:hAnsi="Arial" w:cs="Arial"/>
          <w:sz w:val="15"/>
          <w:szCs w:val="15"/>
          <w:lang w:val="id-ID"/>
        </w:rPr>
        <w:t>11 Jun</w:t>
      </w:r>
      <w:r w:rsidRPr="00262600">
        <w:rPr>
          <w:rFonts w:ascii="Arial" w:hAnsi="Arial" w:cs="Arial"/>
          <w:sz w:val="15"/>
          <w:szCs w:val="15"/>
        </w:rPr>
        <w:t>e</w:t>
      </w:r>
      <w:r w:rsidRPr="00262600">
        <w:rPr>
          <w:rFonts w:ascii="Arial" w:hAnsi="Arial" w:cs="Arial"/>
          <w:sz w:val="15"/>
          <w:szCs w:val="15"/>
          <w:lang w:val="id-ID"/>
        </w:rPr>
        <w:t xml:space="preserve"> 2017 </w:t>
      </w:r>
    </w:p>
    <w:p w14:paraId="5F2DE007"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Smeltzer, S. C., Bare, B., Hinkle, J. L., &amp; Cheever, K. H. 2013. Brunner &amp; Suddartth's Textbook of Medical Surgical Nursing. China: Lippincott Williams &amp; Wilkins</w:t>
      </w:r>
    </w:p>
    <w:p w14:paraId="7DF861F4"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Sudoyo, A. (2010). Buku Ajar Ilmu Penyakit Dalam. Jakarta: Balai Penerbit FKUI.</w:t>
      </w:r>
    </w:p>
    <w:p w14:paraId="3CD2BFAF" w14:textId="0261E15B"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Turkmen, K., Yazici, R., Solak, Y., Guney, I., Altintepe, L., Yeksan, M., &amp; Tonbul, H. Z. (2012). Health-related qualıty of lıfe, sleep qualıty, and depressıon in peritoneal dialysis and hemodıalysıs patıents. Hemodialysis International, 16(2), 198–206. https://doi.org/10.1111/j.1542-4758.2011.00648.x. https://www.ncbi.nlm.nih.gov/pubmed/22136456. Accessed 29 April 2017</w:t>
      </w:r>
    </w:p>
    <w:p w14:paraId="7C1061BB"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Pham, P. C. et al. (2017) ‘2017 update on pain management in patients with chronic kidney disease’, pp. 1–10. doi: 10.1093/ckj/sfx080. Accessed 29 May 2017</w:t>
      </w:r>
    </w:p>
    <w:p w14:paraId="1B8235E0"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Santoro, D. et al. (2012) ‘Pain in end-stage renal disease: a frequent and neglected clinical problem’, Clinical Nephrology, 79. doi: 10.5414/CNX77S104. Accessed 29 May 2017</w:t>
      </w:r>
    </w:p>
    <w:p w14:paraId="6D599E6D"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Webster LR. (2015). Opioid-induced constipation. Pain Med. 2015;16(suppl 1):S16-S21.10. https://www.ncbi.nlm.nih.gov/pubmed/26461071. Accessed 29 April 2017</w:t>
      </w:r>
    </w:p>
    <w:p w14:paraId="221FA373" w14:textId="3861B9AA"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Akyol, A. D. et al. (2011) ‘The use of complementary and alternative medicine among chronic renal failure patients’, Journal of Clinical Nursing, 20(7–8), pp. 1035–1043. doi:</w:t>
      </w:r>
      <w:r w:rsidR="00C275BC" w:rsidRPr="00262600">
        <w:rPr>
          <w:rFonts w:ascii="Arial" w:hAnsi="Arial" w:cs="Arial"/>
          <w:sz w:val="15"/>
          <w:szCs w:val="15"/>
        </w:rPr>
        <w:t xml:space="preserve"> </w:t>
      </w:r>
      <w:r w:rsidRPr="00262600">
        <w:rPr>
          <w:rFonts w:ascii="Arial" w:hAnsi="Arial" w:cs="Arial"/>
          <w:sz w:val="15"/>
          <w:szCs w:val="15"/>
        </w:rPr>
        <w:t>10.1111/j.1365-2702.2010.03498.x. Accessed 29 April 2017</w:t>
      </w:r>
    </w:p>
    <w:p w14:paraId="32CE4354"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Tzu. (2010). Evaluating integrated healthcare delivery models: A holistic approach. Focus on Alternative and Compelmentary Therapy, 7(4), 330-333. doi: 10.1211/ fact.2002.00434. Accessed 29 April 2017</w:t>
      </w:r>
    </w:p>
    <w:p w14:paraId="2DF9AB1C" w14:textId="33749AAA" w:rsidR="002072BC" w:rsidRPr="00957E51"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 xml:space="preserve">Koncicki, H. M., Unruh, M., &amp; Schell, </w:t>
      </w:r>
      <w:r w:rsidRPr="00957E51">
        <w:rPr>
          <w:rFonts w:ascii="Arial" w:hAnsi="Arial" w:cs="Arial"/>
          <w:sz w:val="15"/>
          <w:szCs w:val="15"/>
        </w:rPr>
        <w:t xml:space="preserve">J. O. (2017). Pain Management in CKD: A Guide for Nephrology Providers. American Journal of Kidney Diseases, 69(3), 451–460. </w:t>
      </w:r>
      <w:hyperlink r:id="rId14" w:history="1">
        <w:r w:rsidR="00957E51" w:rsidRPr="00957E51">
          <w:rPr>
            <w:rStyle w:val="Hyperlink"/>
            <w:rFonts w:ascii="Arial" w:hAnsi="Arial" w:cs="Arial"/>
            <w:color w:val="auto"/>
            <w:sz w:val="15"/>
            <w:szCs w:val="15"/>
            <w:u w:val="none"/>
          </w:rPr>
          <w:t>https://doi.org/10.1053/j.ajkd.2016.08.039</w:t>
        </w:r>
      </w:hyperlink>
      <w:r w:rsidRPr="00957E51">
        <w:rPr>
          <w:rFonts w:ascii="Arial" w:hAnsi="Arial" w:cs="Arial"/>
          <w:sz w:val="15"/>
          <w:szCs w:val="15"/>
        </w:rPr>
        <w:t>.</w:t>
      </w:r>
      <w:r w:rsidR="00957E51" w:rsidRPr="00957E51">
        <w:rPr>
          <w:rFonts w:ascii="Arial" w:hAnsi="Arial" w:cs="Arial"/>
          <w:sz w:val="15"/>
          <w:szCs w:val="15"/>
        </w:rPr>
        <w:t xml:space="preserve"> </w:t>
      </w:r>
      <w:r w:rsidRPr="00957E51">
        <w:rPr>
          <w:rFonts w:ascii="Arial" w:hAnsi="Arial" w:cs="Arial"/>
          <w:sz w:val="15"/>
          <w:szCs w:val="15"/>
        </w:rPr>
        <w:t>https://www.sciencedirect.com/science/article/pii/ S0272638616305595. Accessed 18 June 2017</w:t>
      </w:r>
    </w:p>
    <w:p w14:paraId="5E26107C" w14:textId="77777777" w:rsidR="002072BC" w:rsidRPr="00262600" w:rsidRDefault="002072BC" w:rsidP="002072BC">
      <w:pPr>
        <w:pStyle w:val="ListParagraph"/>
        <w:numPr>
          <w:ilvl w:val="0"/>
          <w:numId w:val="2"/>
        </w:numPr>
        <w:jc w:val="both"/>
        <w:rPr>
          <w:rFonts w:ascii="Arial" w:hAnsi="Arial" w:cs="Arial"/>
          <w:sz w:val="15"/>
          <w:szCs w:val="15"/>
        </w:rPr>
      </w:pPr>
      <w:r w:rsidRPr="00957E51">
        <w:rPr>
          <w:rFonts w:ascii="Arial" w:hAnsi="Arial" w:cs="Arial"/>
          <w:sz w:val="15"/>
          <w:szCs w:val="15"/>
        </w:rPr>
        <w:t xml:space="preserve">Osman, N. a. et al. (2015) ‘Complementary and Alternative Medicine Use Among </w:t>
      </w:r>
      <w:r w:rsidRPr="00262600">
        <w:rPr>
          <w:rFonts w:ascii="Arial" w:hAnsi="Arial" w:cs="Arial"/>
          <w:sz w:val="15"/>
          <w:szCs w:val="15"/>
        </w:rPr>
        <w:t>Patients With Chronic Kidney Disease and Kidney Transplant Recipients’, Journal of Renal Nutrition. National Kidney Foundation, Inc., 25(6), pp. 466–471. doi: 10.1053/j.jrn.2015.04.009. Accessed 29 May 2017</w:t>
      </w:r>
    </w:p>
    <w:p w14:paraId="7553518A"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Saeedi, M. et al. (2012) ‘The Effect of Progressive Muscle Relaxation on Sleep Quality of Patients Undergoing Hemodialysis’, 5(1), pp. 23–28. Accessed 29 May 2017</w:t>
      </w:r>
    </w:p>
    <w:p w14:paraId="186C1BF0"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 xml:space="preserve">Amini, E., Goudarzi, I., Masoudi, R., Ahmadi, A., &amp; Momeni, A. (2016). Effect of Progressive Muscle Relaxation and Aerobic Exercise on Anxiety, Sleep Quality, and Fatigue in Patients with Chronic Renal Failure Undergoing Hemodialysis, 8(12), 1634–1639. http://impactfactor.org/PDF/IJPCR/8/IJPCR,Vol8,Issue12,Article14.pdf. Accessed 10 July 2017  </w:t>
      </w:r>
    </w:p>
    <w:p w14:paraId="067882F5"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Bulechek, G.M., Butcher, H &amp; Dochterman, J M. 2013. Nursing Intervention Classification (NIC). 6th edition.United States of America. Elsevier.</w:t>
      </w:r>
    </w:p>
    <w:p w14:paraId="5844B064" w14:textId="07F7B3FD"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Goldfarb, A. H. ‘Exercise and Endogenous Opiates’, pp. 21–37. doi: 10.1007/978-1-62703-314-5. Accessed 19 April 2017</w:t>
      </w:r>
    </w:p>
    <w:p w14:paraId="5E2FDFCB" w14:textId="2FEA7F0F"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lastRenderedPageBreak/>
        <w:t>Neuendorf, R. et al. (2015) ‘The Effects of Mind-Body Interventions on Sleep Quality: A Systematic Review’, Evidence-based Complementary and Alternative Medicine, 2015. doi: 10.1155/2015/902708. Accessed 29 May 2017</w:t>
      </w:r>
    </w:p>
    <w:p w14:paraId="6DA94510"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Perry  &amp; Potter. (2010). Fundamental keperawatan. Edisi 7 Buku 2. Jakarta. Salemba Medika</w:t>
      </w:r>
    </w:p>
    <w:p w14:paraId="11CB5A3F"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Lee, E. J., Bhattacharya, J., Sohn, C., Verres, R., (2012). Monochord sounds and progressive muscle relaxation reduce anxiety and improve relaxation during chemotheraphy: A pilot EEG study complementary theraphies in medicine. Elsevier Health Journal, 20, 409-416. https://www.ncbi.nlm.nih.gov/pubmed/23131371. Accessed 29 May 2017</w:t>
      </w:r>
    </w:p>
    <w:p w14:paraId="4151D7DC" w14:textId="02784513" w:rsidR="002072BC" w:rsidRPr="00262600" w:rsidRDefault="002072BC" w:rsidP="002072BC">
      <w:pPr>
        <w:pStyle w:val="ListParagraph"/>
        <w:numPr>
          <w:ilvl w:val="0"/>
          <w:numId w:val="2"/>
        </w:numPr>
        <w:jc w:val="both"/>
        <w:rPr>
          <w:rFonts w:ascii="Arial" w:hAnsi="Arial" w:cs="Arial"/>
          <w:iCs/>
          <w:sz w:val="15"/>
          <w:szCs w:val="15"/>
        </w:rPr>
      </w:pPr>
      <w:r w:rsidRPr="00262600">
        <w:rPr>
          <w:rFonts w:ascii="Arial" w:hAnsi="Arial" w:cs="Arial"/>
          <w:sz w:val="15"/>
          <w:szCs w:val="15"/>
        </w:rPr>
        <w:t xml:space="preserve">Duma (2012). </w:t>
      </w:r>
      <w:r w:rsidRPr="00262600">
        <w:rPr>
          <w:rFonts w:ascii="Arial" w:hAnsi="Arial" w:cs="Arial"/>
          <w:iCs/>
          <w:sz w:val="15"/>
          <w:szCs w:val="15"/>
        </w:rPr>
        <w:t>Pengaruh progressive muscle relaxation dan logoterapi terhadap ansietas dan depresi, kemampuan relaksasi dan kemampuan memaknai hidup klien kanker di RS Kanker Dharmais. Universitas Indonesia. Jakarta</w:t>
      </w:r>
    </w:p>
    <w:p w14:paraId="7BD2FCDE" w14:textId="77777777"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Mashudi. (2011). Pengaruh progressive muscle relaxation terhadap kadar glukosa darah pasien diabetes mellitus tipe II Di RSUD Raden Matter Jambi. Universitas Indonesia. Jakarta</w:t>
      </w:r>
    </w:p>
    <w:p w14:paraId="683BCAB4" w14:textId="37209538" w:rsidR="002072BC" w:rsidRPr="00262600"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Harmono. (2010). Pengaruh relaksasi otot progresif terhadap penurunan tekanan darah pada pasien hipertensi primer di Kota Malang. Universitas Indonesia. Jakarta</w:t>
      </w:r>
    </w:p>
    <w:p w14:paraId="58DC578C" w14:textId="62CF4040" w:rsidR="002072BC" w:rsidRDefault="002072BC" w:rsidP="002072BC">
      <w:pPr>
        <w:pStyle w:val="ListParagraph"/>
        <w:numPr>
          <w:ilvl w:val="0"/>
          <w:numId w:val="2"/>
        </w:numPr>
        <w:jc w:val="both"/>
        <w:rPr>
          <w:rFonts w:ascii="Arial" w:hAnsi="Arial" w:cs="Arial"/>
          <w:sz w:val="15"/>
          <w:szCs w:val="15"/>
        </w:rPr>
      </w:pPr>
      <w:r w:rsidRPr="00262600">
        <w:rPr>
          <w:rFonts w:ascii="Arial" w:hAnsi="Arial" w:cs="Arial"/>
          <w:sz w:val="15"/>
          <w:szCs w:val="15"/>
        </w:rPr>
        <w:t xml:space="preserve">Ahmed, S. E. S. and Younis, G. a. (2014) ‘The effect of Relaxation Techniques on Quality of Sleep for Patients with End-Stage Renal Failure Undergoing Hemodialysis’, </w:t>
      </w:r>
      <w:r w:rsidRPr="00D21790">
        <w:rPr>
          <w:rFonts w:ascii="Arial" w:hAnsi="Arial" w:cs="Arial"/>
          <w:sz w:val="15"/>
          <w:szCs w:val="15"/>
        </w:rPr>
        <w:t xml:space="preserve">International Journal of Innovative And Applied Research, 2(7), pp. 1–12. </w:t>
      </w:r>
      <w:hyperlink r:id="rId15" w:history="1">
        <w:r w:rsidRPr="00D21790">
          <w:rPr>
            <w:rStyle w:val="Hyperlink"/>
            <w:rFonts w:ascii="Arial" w:hAnsi="Arial" w:cs="Arial"/>
            <w:color w:val="auto"/>
            <w:sz w:val="15"/>
            <w:szCs w:val="15"/>
            <w:u w:val="none"/>
          </w:rPr>
          <w:t>http://journalijiar.com/uploads/2014-07-31_102535_59.pdf</w:t>
        </w:r>
      </w:hyperlink>
      <w:r w:rsidRPr="00D21790">
        <w:rPr>
          <w:rFonts w:ascii="Arial" w:hAnsi="Arial" w:cs="Arial"/>
          <w:sz w:val="15"/>
          <w:szCs w:val="15"/>
        </w:rPr>
        <w:t>. Accessed 09 June 2017</w:t>
      </w:r>
    </w:p>
    <w:p w14:paraId="30F48539" w14:textId="77777777" w:rsidR="00165058" w:rsidRPr="00165058" w:rsidRDefault="00165058" w:rsidP="00165058">
      <w:pPr>
        <w:pStyle w:val="ListParagraph"/>
        <w:numPr>
          <w:ilvl w:val="0"/>
          <w:numId w:val="2"/>
        </w:numPr>
        <w:jc w:val="both"/>
        <w:rPr>
          <w:rFonts w:ascii="Arial" w:hAnsi="Arial" w:cs="Arial"/>
          <w:sz w:val="15"/>
          <w:szCs w:val="15"/>
        </w:rPr>
      </w:pPr>
      <w:r w:rsidRPr="00165058">
        <w:rPr>
          <w:rFonts w:ascii="Arial" w:hAnsi="Arial" w:cs="Arial"/>
          <w:sz w:val="15"/>
          <w:szCs w:val="15"/>
        </w:rPr>
        <w:t>Parvan, K., Lakdizaji, S., Roshangar, F., &amp; Mostofi, M. (2013). Quality of sleep and its relationship to quality of life in hemodialysis patients. Journal of Caring Sciences, 2(4), 295–304. https://doi.org/10.5681/jcs.2013.035 diakses 18 Mei 2017 dari https://www.ncbi.nlm.nih.gov/pmc/articles/ PMC4134147</w:t>
      </w:r>
    </w:p>
    <w:p w14:paraId="2FA7A789" w14:textId="77777777" w:rsidR="00165058" w:rsidRPr="00165058" w:rsidRDefault="00165058" w:rsidP="00165058">
      <w:pPr>
        <w:pStyle w:val="ListParagraph"/>
        <w:numPr>
          <w:ilvl w:val="0"/>
          <w:numId w:val="2"/>
        </w:numPr>
        <w:jc w:val="both"/>
        <w:rPr>
          <w:rFonts w:ascii="Arial" w:hAnsi="Arial" w:cs="Arial"/>
          <w:sz w:val="15"/>
          <w:szCs w:val="15"/>
        </w:rPr>
      </w:pPr>
      <w:r w:rsidRPr="00165058">
        <w:rPr>
          <w:rFonts w:ascii="Arial" w:hAnsi="Arial" w:cs="Arial"/>
          <w:sz w:val="15"/>
          <w:szCs w:val="15"/>
        </w:rPr>
        <w:t>Huang, T. H., Lin, S. C., Chang, F. L., Hsieh, S. S., Liu, S. H., &amp; Yang, R. S. (2013). Effects of different exercise modes on mineralization, structure, and biomechanical properties of growing bone. Journal of applied physiology, 95(1), 300-307.</w:t>
      </w:r>
    </w:p>
    <w:p w14:paraId="43E0BDAD" w14:textId="77777777" w:rsidR="00165058" w:rsidRPr="00D21790" w:rsidRDefault="00165058" w:rsidP="00165058">
      <w:pPr>
        <w:pStyle w:val="ListParagraph"/>
        <w:jc w:val="both"/>
        <w:rPr>
          <w:rFonts w:ascii="Arial" w:hAnsi="Arial" w:cs="Arial"/>
          <w:sz w:val="15"/>
          <w:szCs w:val="15"/>
        </w:rPr>
      </w:pPr>
    </w:p>
    <w:p w14:paraId="1C544796" w14:textId="77777777" w:rsidR="00642A2A" w:rsidRPr="00262600" w:rsidRDefault="00642A2A" w:rsidP="002072BC">
      <w:pPr>
        <w:jc w:val="both"/>
        <w:rPr>
          <w:rFonts w:ascii="Arial" w:eastAsia="Calibri" w:hAnsi="Arial" w:cs="Arial"/>
          <w:sz w:val="15"/>
          <w:szCs w:val="15"/>
        </w:rPr>
      </w:pPr>
    </w:p>
    <w:p w14:paraId="579E1D10" w14:textId="77777777" w:rsidR="002E6B8A" w:rsidRPr="00262600" w:rsidRDefault="002E6B8A" w:rsidP="002072BC">
      <w:pPr>
        <w:jc w:val="both"/>
        <w:rPr>
          <w:rFonts w:ascii="Arial" w:hAnsi="Arial" w:cs="Arial"/>
          <w:sz w:val="15"/>
          <w:szCs w:val="15"/>
        </w:rPr>
      </w:pPr>
    </w:p>
    <w:sectPr w:rsidR="002E6B8A" w:rsidRPr="00262600" w:rsidSect="006D4EFD">
      <w:headerReference w:type="even" r:id="rId16"/>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5C740" w14:textId="77777777" w:rsidR="00000000" w:rsidRDefault="00372B38">
      <w:pPr>
        <w:spacing w:line="240" w:lineRule="auto"/>
      </w:pPr>
      <w:r>
        <w:separator/>
      </w:r>
    </w:p>
  </w:endnote>
  <w:endnote w:type="continuationSeparator" w:id="0">
    <w:p w14:paraId="5405413A" w14:textId="77777777" w:rsidR="00000000" w:rsidRDefault="00372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B885" w14:textId="77777777" w:rsidR="00D06483" w:rsidRPr="00292DA8" w:rsidRDefault="00EE424D" w:rsidP="002535C2">
    <w:pPr>
      <w:pStyle w:val="Foote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Pr>
        <w:rStyle w:val="PageNumber"/>
        <w:noProof/>
        <w:sz w:val="20"/>
        <w:szCs w:val="20"/>
      </w:rPr>
      <w:t>2</w:t>
    </w:r>
    <w:r w:rsidRPr="00292DA8">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4F8E" w14:textId="77777777" w:rsidR="00D06483" w:rsidRPr="00292DA8" w:rsidRDefault="00EE424D" w:rsidP="002535C2">
    <w:pPr>
      <w:pStyle w:val="Foote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Pr>
        <w:rStyle w:val="PageNumber"/>
        <w:noProof/>
        <w:sz w:val="20"/>
        <w:szCs w:val="20"/>
      </w:rPr>
      <w:t>4</w:t>
    </w:r>
    <w:r w:rsidRPr="00292DA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96C9" w14:textId="77777777" w:rsidR="00D06483" w:rsidRPr="00EE20D8" w:rsidRDefault="00EE424D" w:rsidP="002535C2">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Pr>
        <w:rStyle w:val="PageNumber"/>
        <w:noProof/>
        <w:szCs w:val="22"/>
      </w:rPr>
      <w:t>1</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E5AF3" w14:textId="77777777" w:rsidR="00000000" w:rsidRDefault="00372B38">
      <w:pPr>
        <w:spacing w:line="240" w:lineRule="auto"/>
      </w:pPr>
      <w:r>
        <w:separator/>
      </w:r>
    </w:p>
  </w:footnote>
  <w:footnote w:type="continuationSeparator" w:id="0">
    <w:p w14:paraId="48F466B8" w14:textId="77777777" w:rsidR="00000000" w:rsidRDefault="00372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1E6C" w14:textId="77777777" w:rsidR="00D06483" w:rsidRPr="002C4639" w:rsidRDefault="00EE424D" w:rsidP="002535C2">
    <w:pPr>
      <w:rPr>
        <w:rFonts w:eastAsia="Calibri"/>
      </w:rPr>
    </w:pPr>
    <w:r w:rsidRPr="002C4639">
      <w:rPr>
        <w:rFonts w:eastAsia="Calibri"/>
      </w:rPr>
      <w:t>First Author / medisains - Vol. xx No. xx (2019) xxx-xxx</w:t>
    </w:r>
  </w:p>
  <w:p w14:paraId="2632EE53" w14:textId="77777777" w:rsidR="00D06483" w:rsidRPr="002C4639" w:rsidRDefault="00372B38" w:rsidP="00253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26E2" w14:textId="77777777" w:rsidR="00D06483" w:rsidRPr="008F101D" w:rsidRDefault="00372B38" w:rsidP="00253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tblGrid>
    <w:tr w:rsidR="00D06483" w:rsidRPr="00987BA0" w14:paraId="7B6B5C32" w14:textId="77777777" w:rsidTr="00D06483">
      <w:trPr>
        <w:trHeight w:val="249"/>
      </w:trPr>
      <w:tc>
        <w:tcPr>
          <w:tcW w:w="9498" w:type="dxa"/>
          <w:tcBorders>
            <w:bottom w:val="single" w:sz="4" w:space="0" w:color="auto"/>
          </w:tcBorders>
        </w:tcPr>
        <w:p w14:paraId="64C52D65" w14:textId="77777777" w:rsidR="00D06483" w:rsidRPr="00987BA0" w:rsidRDefault="00EE424D" w:rsidP="002535C2">
          <w:r w:rsidRPr="00987BA0">
            <w:t xml:space="preserve">medisains - </w:t>
          </w:r>
          <w:r>
            <w:t>vol. xx n</w:t>
          </w:r>
          <w:r w:rsidRPr="00987BA0">
            <w:t>o. xx (2019) xxx-xxx</w:t>
          </w:r>
        </w:p>
      </w:tc>
    </w:tr>
    <w:tr w:rsidR="00D06483" w:rsidRPr="00987BA0" w14:paraId="4A32ED00" w14:textId="77777777" w:rsidTr="00D06483">
      <w:trPr>
        <w:trHeight w:val="87"/>
      </w:trPr>
      <w:tc>
        <w:tcPr>
          <w:tcW w:w="9498" w:type="dxa"/>
          <w:tcBorders>
            <w:bottom w:val="single" w:sz="24" w:space="0" w:color="auto"/>
          </w:tcBorders>
        </w:tcPr>
        <w:p w14:paraId="60BCE891" w14:textId="77777777" w:rsidR="00D06483" w:rsidRPr="00987BA0" w:rsidRDefault="00EE424D" w:rsidP="002535C2">
          <w:r w:rsidRPr="00987BA0">
            <w:rPr>
              <w:noProof/>
            </w:rPr>
            <w:drawing>
              <wp:inline distT="0" distB="0" distL="0" distR="0" wp14:anchorId="05FC8AA1" wp14:editId="445EF31E">
                <wp:extent cx="6057900" cy="882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edisains terbar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7900" cy="882650"/>
                        </a:xfrm>
                        <a:prstGeom prst="rect">
                          <a:avLst/>
                        </a:prstGeom>
                      </pic:spPr>
                    </pic:pic>
                  </a:graphicData>
                </a:graphic>
              </wp:inline>
            </w:drawing>
          </w:r>
        </w:p>
      </w:tc>
    </w:tr>
  </w:tbl>
  <w:p w14:paraId="1EBAE92D" w14:textId="77777777" w:rsidR="00D06483" w:rsidRDefault="00372B38" w:rsidP="002535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9B52" w14:textId="77777777" w:rsidR="00D06483" w:rsidRDefault="00372B38" w:rsidP="002535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4FA0"/>
    <w:multiLevelType w:val="hybridMultilevel"/>
    <w:tmpl w:val="B4E2BC24"/>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15:restartNumberingAfterBreak="0">
    <w:nsid w:val="52D73EC6"/>
    <w:multiLevelType w:val="hybridMultilevel"/>
    <w:tmpl w:val="06E6F826"/>
    <w:lvl w:ilvl="0" w:tplc="04210001">
      <w:start w:val="1"/>
      <w:numFmt w:val="bullet"/>
      <w:lvlText w:val=""/>
      <w:lvlJc w:val="left"/>
      <w:pPr>
        <w:ind w:left="420" w:hanging="360"/>
      </w:pPr>
      <w:rPr>
        <w:rFonts w:ascii="Symbol" w:hAnsi="Symbol"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2" w15:restartNumberingAfterBreak="0">
    <w:nsid w:val="729E59C7"/>
    <w:multiLevelType w:val="hybridMultilevel"/>
    <w:tmpl w:val="1FA2EE3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F5F5E"/>
    <w:multiLevelType w:val="hybridMultilevel"/>
    <w:tmpl w:val="72EC3808"/>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4" w15:restartNumberingAfterBreak="0">
    <w:nsid w:val="7DFF6AFC"/>
    <w:multiLevelType w:val="hybridMultilevel"/>
    <w:tmpl w:val="014E83AE"/>
    <w:lvl w:ilvl="0" w:tplc="04210001">
      <w:start w:val="1"/>
      <w:numFmt w:val="bullet"/>
      <w:lvlText w:val=""/>
      <w:lvlJc w:val="left"/>
      <w:pPr>
        <w:ind w:left="420" w:hanging="360"/>
      </w:pPr>
      <w:rPr>
        <w:rFonts w:ascii="Symbol" w:hAnsi="Symbol" w:hint="default"/>
      </w:rPr>
    </w:lvl>
    <w:lvl w:ilvl="1" w:tplc="04210003">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2A"/>
    <w:rsid w:val="00165058"/>
    <w:rsid w:val="001F609F"/>
    <w:rsid w:val="002072BC"/>
    <w:rsid w:val="00262600"/>
    <w:rsid w:val="002E6B8A"/>
    <w:rsid w:val="002F6AA4"/>
    <w:rsid w:val="00372B38"/>
    <w:rsid w:val="004A10F0"/>
    <w:rsid w:val="004B17FB"/>
    <w:rsid w:val="004F50D5"/>
    <w:rsid w:val="005D27C8"/>
    <w:rsid w:val="00642A2A"/>
    <w:rsid w:val="006C470D"/>
    <w:rsid w:val="00957E51"/>
    <w:rsid w:val="009873EC"/>
    <w:rsid w:val="00A5424E"/>
    <w:rsid w:val="00C275BC"/>
    <w:rsid w:val="00D21790"/>
    <w:rsid w:val="00E81F6B"/>
    <w:rsid w:val="00E832F2"/>
    <w:rsid w:val="00EE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F26D"/>
  <w15:chartTrackingRefBased/>
  <w15:docId w15:val="{03B2D223-2905-4558-B94F-3455C018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42A2A"/>
    <w:pPr>
      <w:spacing w:after="0" w:line="276"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642A2A"/>
    <w:rPr>
      <w:i/>
    </w:rPr>
  </w:style>
  <w:style w:type="paragraph" w:customStyle="1" w:styleId="Ventura-Content">
    <w:name w:val="Ventura-Content"/>
    <w:basedOn w:val="Normal"/>
    <w:link w:val="Ventura-ContentChar"/>
    <w:rsid w:val="00642A2A"/>
    <w:pPr>
      <w:ind w:firstLine="397"/>
    </w:pPr>
    <w:rPr>
      <w:rFonts w:ascii="Book Antiqua" w:hAnsi="Book Antiqua"/>
    </w:rPr>
  </w:style>
  <w:style w:type="character" w:customStyle="1" w:styleId="Ventura-ContentChar">
    <w:name w:val="Ventura-Content Char"/>
    <w:link w:val="Ventura-Content"/>
    <w:rsid w:val="00642A2A"/>
    <w:rPr>
      <w:rFonts w:ascii="Book Antiqua" w:eastAsia="Times New Roman" w:hAnsi="Book Antiqua" w:cs="Times New Roman"/>
      <w:sz w:val="20"/>
      <w:szCs w:val="24"/>
    </w:rPr>
  </w:style>
  <w:style w:type="paragraph" w:styleId="Header">
    <w:name w:val="header"/>
    <w:aliases w:val="Ventura-Header,Persen"/>
    <w:basedOn w:val="Normal"/>
    <w:link w:val="HeaderChar"/>
    <w:uiPriority w:val="99"/>
    <w:rsid w:val="00642A2A"/>
    <w:pPr>
      <w:tabs>
        <w:tab w:val="right" w:pos="8789"/>
      </w:tabs>
    </w:pPr>
    <w:rPr>
      <w:rFonts w:ascii="Book Antiqua" w:hAnsi="Book Antiqua"/>
    </w:rPr>
  </w:style>
  <w:style w:type="character" w:customStyle="1" w:styleId="HeaderChar">
    <w:name w:val="Header Char"/>
    <w:aliases w:val="Ventura-Header Char,Persen Char"/>
    <w:basedOn w:val="DefaultParagraphFont"/>
    <w:link w:val="Header"/>
    <w:uiPriority w:val="99"/>
    <w:rsid w:val="00642A2A"/>
    <w:rPr>
      <w:rFonts w:ascii="Book Antiqua" w:eastAsia="Times New Roman" w:hAnsi="Book Antiqua" w:cs="Times New Roman"/>
      <w:sz w:val="20"/>
      <w:szCs w:val="24"/>
    </w:rPr>
  </w:style>
  <w:style w:type="paragraph" w:styleId="Footer">
    <w:name w:val="footer"/>
    <w:aliases w:val="Footer Char Char Char,Footer Char Char Char Char"/>
    <w:basedOn w:val="Normal"/>
    <w:link w:val="FooterChar"/>
    <w:uiPriority w:val="99"/>
    <w:rsid w:val="00642A2A"/>
    <w:pPr>
      <w:jc w:val="center"/>
    </w:pPr>
    <w:rPr>
      <w:sz w:val="24"/>
    </w:rPr>
  </w:style>
  <w:style w:type="character" w:customStyle="1" w:styleId="FooterChar">
    <w:name w:val="Footer Char"/>
    <w:aliases w:val="Footer Char Char Char Char1,Footer Char Char Char Char Char"/>
    <w:basedOn w:val="DefaultParagraphFont"/>
    <w:link w:val="Footer"/>
    <w:uiPriority w:val="99"/>
    <w:rsid w:val="00642A2A"/>
    <w:rPr>
      <w:rFonts w:ascii="Times New Roman" w:eastAsia="Times New Roman" w:hAnsi="Times New Roman" w:cs="Times New Roman"/>
      <w:sz w:val="24"/>
      <w:szCs w:val="24"/>
    </w:rPr>
  </w:style>
  <w:style w:type="character" w:styleId="PageNumber">
    <w:name w:val="page number"/>
    <w:uiPriority w:val="99"/>
    <w:rsid w:val="00642A2A"/>
    <w:rPr>
      <w:sz w:val="24"/>
    </w:rPr>
  </w:style>
  <w:style w:type="table" w:styleId="TableGrid">
    <w:name w:val="Table Grid"/>
    <w:basedOn w:val="TableNormal"/>
    <w:uiPriority w:val="59"/>
    <w:rsid w:val="00642A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2A2A"/>
    <w:pPr>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uiPriority w:val="34"/>
    <w:rsid w:val="00642A2A"/>
    <w:rPr>
      <w:rFonts w:ascii="Calibri" w:eastAsia="Calibri" w:hAnsi="Calibri" w:cs="Times New Roman"/>
      <w:noProof/>
    </w:rPr>
  </w:style>
  <w:style w:type="table" w:customStyle="1" w:styleId="TableGrid2">
    <w:name w:val="Table Grid2"/>
    <w:basedOn w:val="TableNormal"/>
    <w:next w:val="TableGrid"/>
    <w:uiPriority w:val="39"/>
    <w:rsid w:val="00642A2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2A2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42A2A"/>
    <w:pPr>
      <w:spacing w:after="0" w:line="240" w:lineRule="auto"/>
    </w:pPr>
    <w:rPr>
      <w:rFonts w:ascii="Calibri" w:eastAsia="Calibri" w:hAnsi="Calibri" w:cs="Times New Roman"/>
      <w:color w:val="000000"/>
      <w:sz w:val="20"/>
      <w:szCs w:val="20"/>
      <w:lang w:val="id-ID"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2072BC"/>
    <w:rPr>
      <w:color w:val="0563C1" w:themeColor="hyperlink"/>
      <w:u w:val="single"/>
    </w:rPr>
  </w:style>
  <w:style w:type="character" w:styleId="UnresolvedMention">
    <w:name w:val="Unresolved Mention"/>
    <w:basedOn w:val="DefaultParagraphFont"/>
    <w:uiPriority w:val="99"/>
    <w:semiHidden/>
    <w:unhideWhenUsed/>
    <w:rsid w:val="00207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journalijiar.com/uploads/2014-07-31_102535_59.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53/j.ajkd.2016.08.03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9.6918292028517303E-2"/>
          <c:y val="4.8862227680723583E-2"/>
          <c:w val="0.81755533450993045"/>
          <c:h val="0.71598045592549764"/>
        </c:manualLayout>
      </c:layout>
      <c:bar3DChart>
        <c:barDir val="col"/>
        <c:grouping val="clustered"/>
        <c:varyColors val="0"/>
        <c:ser>
          <c:idx val="0"/>
          <c:order val="0"/>
          <c:tx>
            <c:strRef>
              <c:f>Sheet1!$B$1</c:f>
              <c:strCache>
                <c:ptCount val="1"/>
                <c:pt idx="0">
                  <c:v>Ringan</c:v>
                </c:pt>
              </c:strCache>
            </c:strRef>
          </c:tx>
          <c:spPr>
            <a:solidFill>
              <a:srgbClr val="00B050"/>
            </a:solidFill>
          </c:spPr>
          <c:invertIfNegative val="0"/>
          <c:dLbls>
            <c:dLbl>
              <c:idx val="0"/>
              <c:layout>
                <c:manualLayout>
                  <c:x val="-1.1590171534538753E-2"/>
                  <c:y val="7.2886297376093291E-3"/>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57-4E65-A26A-452DCE5D0C32}"/>
                </c:ext>
              </c:extLst>
            </c:dLbl>
            <c:dLbl>
              <c:idx val="1"/>
              <c:layout>
                <c:manualLayout>
                  <c:x val="-1.8948992396032961E-2"/>
                  <c:y val="0"/>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57-4E65-A26A-452DCE5D0C32}"/>
                </c:ext>
              </c:extLst>
            </c:dLbl>
            <c:dLbl>
              <c:idx val="2"/>
              <c:layout>
                <c:manualLayout>
                  <c:x val="-1.8948992396032923E-2"/>
                  <c:y val="0"/>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57-4E65-A26A-452DCE5D0C32}"/>
                </c:ext>
              </c:extLst>
            </c:dLbl>
            <c:dLbl>
              <c:idx val="4"/>
              <c:layout>
                <c:manualLayout>
                  <c:x val="-1.2758132284924745E-2"/>
                  <c:y val="0"/>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57-4E65-A26A-452DCE5D0C32}"/>
                </c:ext>
              </c:extLst>
            </c:dLbl>
            <c:dLbl>
              <c:idx val="5"/>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657-4E65-A26A-452DCE5D0C32}"/>
                </c:ext>
              </c:extLst>
            </c:dLbl>
            <c:dLbl>
              <c:idx val="6"/>
              <c:layout>
                <c:manualLayout>
                  <c:x val="1.5302871541671537E-2"/>
                  <c:y val="0"/>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57-4E65-A26A-452DCE5D0C32}"/>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pretes</c:v>
                </c:pt>
                <c:pt idx="1">
                  <c:v>postes1</c:v>
                </c:pt>
                <c:pt idx="2">
                  <c:v>Postes 2</c:v>
                </c:pt>
                <c:pt idx="4">
                  <c:v>pretes</c:v>
                </c:pt>
                <c:pt idx="5">
                  <c:v>postes1</c:v>
                </c:pt>
                <c:pt idx="6">
                  <c:v>postes2</c:v>
                </c:pt>
              </c:strCache>
            </c:strRef>
          </c:cat>
          <c:val>
            <c:numRef>
              <c:f>Sheet1!$B$2:$B$8</c:f>
              <c:numCache>
                <c:formatCode>General</c:formatCode>
                <c:ptCount val="7"/>
                <c:pt idx="0">
                  <c:v>20</c:v>
                </c:pt>
                <c:pt idx="1">
                  <c:v>20</c:v>
                </c:pt>
                <c:pt idx="2">
                  <c:v>20</c:v>
                </c:pt>
                <c:pt idx="4">
                  <c:v>18</c:v>
                </c:pt>
                <c:pt idx="5">
                  <c:v>52</c:v>
                </c:pt>
                <c:pt idx="6">
                  <c:v>80</c:v>
                </c:pt>
              </c:numCache>
            </c:numRef>
          </c:val>
          <c:extLst>
            <c:ext xmlns:c16="http://schemas.microsoft.com/office/drawing/2014/chart" uri="{C3380CC4-5D6E-409C-BE32-E72D297353CC}">
              <c16:uniqueId val="{00000006-1657-4E65-A26A-452DCE5D0C32}"/>
            </c:ext>
          </c:extLst>
        </c:ser>
        <c:ser>
          <c:idx val="1"/>
          <c:order val="1"/>
          <c:tx>
            <c:strRef>
              <c:f>Sheet1!$C$1</c:f>
              <c:strCache>
                <c:ptCount val="1"/>
                <c:pt idx="0">
                  <c:v>Sedang</c:v>
                </c:pt>
              </c:strCache>
            </c:strRef>
          </c:tx>
          <c:spPr>
            <a:solidFill>
              <a:srgbClr val="0070C0"/>
            </a:solidFill>
          </c:spPr>
          <c:invertIfNegative val="0"/>
          <c:dLbls>
            <c:dLbl>
              <c:idx val="0"/>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57-4E65-A26A-452DCE5D0C32}"/>
                </c:ext>
              </c:extLst>
            </c:dLbl>
            <c:dLbl>
              <c:idx val="1"/>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657-4E65-A26A-452DCE5D0C32}"/>
                </c:ext>
              </c:extLst>
            </c:dLbl>
            <c:dLbl>
              <c:idx val="2"/>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57-4E65-A26A-452DCE5D0C32}"/>
                </c:ext>
              </c:extLst>
            </c:dLbl>
            <c:dLbl>
              <c:idx val="4"/>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657-4E65-A26A-452DCE5D0C32}"/>
                </c:ext>
              </c:extLst>
            </c:dLbl>
            <c:dLbl>
              <c:idx val="5"/>
              <c:layout>
                <c:manualLayout>
                  <c:x val="3.112531774545085E-2"/>
                  <c:y val="-3.177389190140692E-7"/>
                </c:manualLayout>
              </c:layout>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57-4E65-A26A-452DCE5D0C32}"/>
                </c:ext>
              </c:extLst>
            </c:dLbl>
            <c:dLbl>
              <c:idx val="6"/>
              <c:layout>
                <c:manualLayout>
                  <c:x val="2.7978227990132901E-2"/>
                  <c:y val="0"/>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657-4E65-A26A-452DCE5D0C32}"/>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pretes</c:v>
                </c:pt>
                <c:pt idx="1">
                  <c:v>postes1</c:v>
                </c:pt>
                <c:pt idx="2">
                  <c:v>Postes 2</c:v>
                </c:pt>
                <c:pt idx="4">
                  <c:v>pretes</c:v>
                </c:pt>
                <c:pt idx="5">
                  <c:v>postes1</c:v>
                </c:pt>
                <c:pt idx="6">
                  <c:v>postes2</c:v>
                </c:pt>
              </c:strCache>
            </c:strRef>
          </c:cat>
          <c:val>
            <c:numRef>
              <c:f>Sheet1!$C$2:$C$8</c:f>
              <c:numCache>
                <c:formatCode>General</c:formatCode>
                <c:ptCount val="7"/>
                <c:pt idx="0">
                  <c:v>72</c:v>
                </c:pt>
                <c:pt idx="1">
                  <c:v>72</c:v>
                </c:pt>
                <c:pt idx="2">
                  <c:v>74</c:v>
                </c:pt>
                <c:pt idx="4">
                  <c:v>74</c:v>
                </c:pt>
                <c:pt idx="5">
                  <c:v>42</c:v>
                </c:pt>
                <c:pt idx="6">
                  <c:v>20</c:v>
                </c:pt>
              </c:numCache>
            </c:numRef>
          </c:val>
          <c:extLst>
            <c:ext xmlns:c16="http://schemas.microsoft.com/office/drawing/2014/chart" uri="{C3380CC4-5D6E-409C-BE32-E72D297353CC}">
              <c16:uniqueId val="{0000000D-1657-4E65-A26A-452DCE5D0C32}"/>
            </c:ext>
          </c:extLst>
        </c:ser>
        <c:ser>
          <c:idx val="2"/>
          <c:order val="2"/>
          <c:tx>
            <c:strRef>
              <c:f>Sheet1!$D$1</c:f>
              <c:strCache>
                <c:ptCount val="1"/>
                <c:pt idx="0">
                  <c:v>Berat</c:v>
                </c:pt>
              </c:strCache>
            </c:strRef>
          </c:tx>
          <c:spPr>
            <a:solidFill>
              <a:srgbClr val="C00000"/>
            </a:solidFill>
          </c:spPr>
          <c:invertIfNegative val="0"/>
          <c:dLbls>
            <c:dLbl>
              <c:idx val="0"/>
              <c:layout>
                <c:manualLayout>
                  <c:x val="1.26766692290117E-2"/>
                  <c:y val="0"/>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657-4E65-A26A-452DCE5D0C32}"/>
                </c:ext>
              </c:extLst>
            </c:dLbl>
            <c:dLbl>
              <c:idx val="1"/>
              <c:layout>
                <c:manualLayout>
                  <c:x val="1.8948992396032961E-2"/>
                  <c:y val="0"/>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57-4E65-A26A-452DCE5D0C32}"/>
                </c:ext>
              </c:extLst>
            </c:dLbl>
            <c:dLbl>
              <c:idx val="2"/>
              <c:layout>
                <c:manualLayout>
                  <c:x val="2.8423488594049424E-2"/>
                  <c:y val="0"/>
                </c:manualLayout>
              </c:layout>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657-4E65-A26A-452DCE5D0C32}"/>
                </c:ext>
              </c:extLst>
            </c:dLbl>
            <c:dLbl>
              <c:idx val="4"/>
              <c:layout>
                <c:manualLayout>
                  <c:x val="1.8883045552745406E-2"/>
                  <c:y val="7.0471093448738115E-17"/>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657-4E65-A26A-452DCE5D0C32}"/>
                </c:ext>
              </c:extLst>
            </c:dLbl>
            <c:dLbl>
              <c:idx val="5"/>
              <c:layout>
                <c:manualLayout>
                  <c:x val="1.8883045552745406E-2"/>
                  <c:y val="0"/>
                </c:manualLayout>
              </c:layout>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657-4E65-A26A-452DCE5D0C32}"/>
                </c:ext>
              </c:extLst>
            </c:dLbl>
            <c:dLbl>
              <c:idx val="6"/>
              <c:layout>
                <c:manualLayout>
                  <c:x val="1.8883045552745295E-2"/>
                  <c:y val="7.0471093448738115E-17"/>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657-4E65-A26A-452DCE5D0C32}"/>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pretes</c:v>
                </c:pt>
                <c:pt idx="1">
                  <c:v>postes1</c:v>
                </c:pt>
                <c:pt idx="2">
                  <c:v>Postes 2</c:v>
                </c:pt>
                <c:pt idx="4">
                  <c:v>pretes</c:v>
                </c:pt>
                <c:pt idx="5">
                  <c:v>postes1</c:v>
                </c:pt>
                <c:pt idx="6">
                  <c:v>postes2</c:v>
                </c:pt>
              </c:strCache>
            </c:strRef>
          </c:cat>
          <c:val>
            <c:numRef>
              <c:f>Sheet1!$D$2:$D$8</c:f>
              <c:numCache>
                <c:formatCode>General</c:formatCode>
                <c:ptCount val="7"/>
                <c:pt idx="0">
                  <c:v>8</c:v>
                </c:pt>
                <c:pt idx="1">
                  <c:v>8</c:v>
                </c:pt>
                <c:pt idx="2">
                  <c:v>6</c:v>
                </c:pt>
                <c:pt idx="4">
                  <c:v>8</c:v>
                </c:pt>
                <c:pt idx="5">
                  <c:v>6</c:v>
                </c:pt>
                <c:pt idx="6">
                  <c:v>0</c:v>
                </c:pt>
              </c:numCache>
            </c:numRef>
          </c:val>
          <c:extLst>
            <c:ext xmlns:c16="http://schemas.microsoft.com/office/drawing/2014/chart" uri="{C3380CC4-5D6E-409C-BE32-E72D297353CC}">
              <c16:uniqueId val="{00000014-1657-4E65-A26A-452DCE5D0C32}"/>
            </c:ext>
          </c:extLst>
        </c:ser>
        <c:dLbls>
          <c:showLegendKey val="0"/>
          <c:showVal val="0"/>
          <c:showCatName val="0"/>
          <c:showSerName val="0"/>
          <c:showPercent val="0"/>
          <c:showBubbleSize val="0"/>
        </c:dLbls>
        <c:gapWidth val="150"/>
        <c:shape val="cylinder"/>
        <c:axId val="45863296"/>
        <c:axId val="45865216"/>
        <c:axId val="0"/>
      </c:bar3DChart>
      <c:catAx>
        <c:axId val="4586329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id-ID" sz="900">
                    <a:latin typeface="Times New Roman" panose="02020603050405020304" pitchFamily="18" charset="0"/>
                    <a:cs typeface="Times New Roman" panose="02020603050405020304" pitchFamily="18" charset="0"/>
                  </a:rPr>
                  <a:t>kelompok_kontrol</a:t>
                </a:r>
              </a:p>
            </c:rich>
          </c:tx>
          <c:layout>
            <c:manualLayout>
              <c:xMode val="edge"/>
              <c:yMode val="edge"/>
              <c:x val="0.15760005668087224"/>
              <c:y val="0.78285277440091916"/>
            </c:manualLayout>
          </c:layout>
          <c:overlay val="0"/>
        </c:title>
        <c:numFmt formatCode="General" sourceLinked="0"/>
        <c:majorTickMark val="out"/>
        <c:minorTickMark val="none"/>
        <c:tickLblPos val="nextTo"/>
        <c:txPr>
          <a:bodyPr/>
          <a:lstStyle/>
          <a:p>
            <a:pPr>
              <a:defRPr sz="800"/>
            </a:pPr>
            <a:endParaRPr lang="en-US"/>
          </a:p>
        </c:txPr>
        <c:crossAx val="45865216"/>
        <c:crosses val="autoZero"/>
        <c:auto val="1"/>
        <c:lblAlgn val="ctr"/>
        <c:lblOffset val="100"/>
        <c:noMultiLvlLbl val="0"/>
      </c:catAx>
      <c:valAx>
        <c:axId val="45865216"/>
        <c:scaling>
          <c:orientation val="minMax"/>
        </c:scaling>
        <c:delete val="0"/>
        <c:axPos val="l"/>
        <c:majorGridlines/>
        <c:title>
          <c:tx>
            <c:rich>
              <a:bodyPr rot="-5400000" vert="horz"/>
              <a:lstStyle/>
              <a:p>
                <a:pPr>
                  <a:defRPr sz="900" b="1">
                    <a:latin typeface="Times New Roman" panose="02020603050405020304" pitchFamily="18" charset="0"/>
                    <a:cs typeface="Times New Roman" panose="02020603050405020304" pitchFamily="18" charset="0"/>
                  </a:defRPr>
                </a:pPr>
                <a:r>
                  <a:rPr lang="id-ID" sz="900" b="1">
                    <a:latin typeface="Times New Roman" panose="02020603050405020304" pitchFamily="18" charset="0"/>
                    <a:cs typeface="Times New Roman" panose="02020603050405020304" pitchFamily="18" charset="0"/>
                  </a:rPr>
                  <a:t>Jumlah</a:t>
                </a:r>
                <a:r>
                  <a:rPr lang="id-ID" sz="900" b="1" baseline="0">
                    <a:latin typeface="Times New Roman" panose="02020603050405020304" pitchFamily="18" charset="0"/>
                    <a:cs typeface="Times New Roman" panose="02020603050405020304" pitchFamily="18" charset="0"/>
                  </a:rPr>
                  <a:t> yang mengalami n</a:t>
                </a:r>
                <a:r>
                  <a:rPr lang="id-ID" sz="900" b="1">
                    <a:latin typeface="Times New Roman" panose="02020603050405020304" pitchFamily="18" charset="0"/>
                    <a:cs typeface="Times New Roman" panose="02020603050405020304" pitchFamily="18" charset="0"/>
                  </a:rPr>
                  <a:t>yeri</a:t>
                </a:r>
              </a:p>
            </c:rich>
          </c:tx>
          <c:layout>
            <c:manualLayout>
              <c:xMode val="edge"/>
              <c:yMode val="edge"/>
              <c:x val="1.879564844937634E-2"/>
              <c:y val="6.3528022557026192E-2"/>
            </c:manualLayout>
          </c:layout>
          <c:overlay val="0"/>
        </c:title>
        <c:numFmt formatCode="General" sourceLinked="1"/>
        <c:majorTickMark val="out"/>
        <c:minorTickMark val="none"/>
        <c:tickLblPos val="nextTo"/>
        <c:txPr>
          <a:bodyPr/>
          <a:lstStyle/>
          <a:p>
            <a:pPr>
              <a:defRPr sz="750">
                <a:latin typeface="Times New Roman" panose="02020603050405020304" pitchFamily="18" charset="0"/>
                <a:cs typeface="Times New Roman" panose="02020603050405020304" pitchFamily="18" charset="0"/>
              </a:defRPr>
            </a:pPr>
            <a:endParaRPr lang="en-US"/>
          </a:p>
        </c:txPr>
        <c:crossAx val="45863296"/>
        <c:crosses val="autoZero"/>
        <c:crossBetween val="between"/>
      </c:valAx>
    </c:plotArea>
    <c:legend>
      <c:legendPos val="r"/>
      <c:layout>
        <c:manualLayout>
          <c:xMode val="edge"/>
          <c:yMode val="edge"/>
          <c:x val="0.85376824081089064"/>
          <c:y val="0.39790169857354535"/>
          <c:w val="0.13365445083213331"/>
          <c:h val="0.20419660285291291"/>
        </c:manualLayout>
      </c:layout>
      <c:overlay val="0"/>
      <c:txPr>
        <a:bodyPr/>
        <a:lstStyle/>
        <a:p>
          <a:pPr>
            <a:defRPr sz="7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3175"/>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0.50375</cdr:x>
      <cdr:y>0.85947</cdr:y>
    </cdr:from>
    <cdr:to>
      <cdr:x>0.85164</cdr:x>
      <cdr:y>0.92736</cdr:y>
    </cdr:to>
    <cdr:sp macro="" textlink="">
      <cdr:nvSpPr>
        <cdr:cNvPr id="2" name="Rectangle 1"/>
        <cdr:cNvSpPr/>
      </cdr:nvSpPr>
      <cdr:spPr>
        <a:xfrm xmlns:a="http://schemas.openxmlformats.org/drawingml/2006/main">
          <a:off x="2090322" y="2704960"/>
          <a:ext cx="1443586" cy="213666"/>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id-ID" sz="900" b="1">
              <a:solidFill>
                <a:sysClr val="windowText" lastClr="000000"/>
              </a:solidFill>
              <a:latin typeface="Times New Roman" panose="02020603050405020304" pitchFamily="18" charset="0"/>
              <a:cs typeface="Times New Roman" panose="02020603050405020304" pitchFamily="18" charset="0"/>
            </a:rPr>
            <a:t>kelompok_intervensi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habid hasbi al</dc:creator>
  <cp:keywords/>
  <dc:description/>
  <cp:lastModifiedBy>habid hasbi al</cp:lastModifiedBy>
  <cp:revision>2</cp:revision>
  <dcterms:created xsi:type="dcterms:W3CDTF">2019-11-02T07:41:00Z</dcterms:created>
  <dcterms:modified xsi:type="dcterms:W3CDTF">2019-11-02T07:41:00Z</dcterms:modified>
</cp:coreProperties>
</file>